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01" w:rsidRDefault="00F416C9" w:rsidP="00D1573A">
      <w:pPr>
        <w:spacing w:after="0" w:line="276" w:lineRule="auto"/>
        <w:rPr>
          <w:b/>
        </w:rPr>
      </w:pPr>
      <w:r>
        <w:rPr>
          <w:b/>
        </w:rPr>
        <w:t xml:space="preserve">Supporting Information, </w:t>
      </w:r>
      <w:r w:rsidRPr="00F416C9">
        <w:rPr>
          <w:b/>
        </w:rPr>
        <w:t xml:space="preserve">Plasmid-Mediated Quinolone Resistance in Human </w:t>
      </w:r>
      <w:proofErr w:type="spellStart"/>
      <w:r w:rsidRPr="00F416C9">
        <w:rPr>
          <w:b/>
        </w:rPr>
        <w:t>Nontyphoidal</w:t>
      </w:r>
      <w:proofErr w:type="spellEnd"/>
      <w:r w:rsidRPr="00F416C9">
        <w:rPr>
          <w:b/>
        </w:rPr>
        <w:t xml:space="preserve"> </w:t>
      </w:r>
      <w:r w:rsidRPr="00F416C9">
        <w:rPr>
          <w:b/>
          <w:i/>
        </w:rPr>
        <w:t>Salmonella</w:t>
      </w:r>
      <w:r w:rsidRPr="00F416C9">
        <w:rPr>
          <w:b/>
        </w:rPr>
        <w:t xml:space="preserve"> Infections: An Emerging Public Health Problem in the United States</w:t>
      </w:r>
    </w:p>
    <w:p w:rsidR="00D1573A" w:rsidRDefault="00D1573A" w:rsidP="00D1573A">
      <w:pPr>
        <w:spacing w:after="0" w:line="276" w:lineRule="auto"/>
        <w:rPr>
          <w:b/>
        </w:rPr>
      </w:pPr>
    </w:p>
    <w:p w:rsidR="00F416C9" w:rsidRPr="00B1441D" w:rsidRDefault="00F416C9" w:rsidP="00D1573A">
      <w:pPr>
        <w:spacing w:after="0" w:line="276" w:lineRule="auto"/>
        <w:rPr>
          <w:b/>
        </w:rPr>
      </w:pPr>
    </w:p>
    <w:p w:rsidR="00064401" w:rsidRPr="00B1441D" w:rsidRDefault="00064401" w:rsidP="007F5184">
      <w:pPr>
        <w:spacing w:after="0" w:line="360" w:lineRule="auto"/>
      </w:pPr>
      <w:r w:rsidRPr="00B1441D">
        <w:t xml:space="preserve">The presence of PMQR genes </w:t>
      </w:r>
      <w:proofErr w:type="spellStart"/>
      <w:r w:rsidRPr="00B1441D">
        <w:rPr>
          <w:i/>
        </w:rPr>
        <w:t>aac</w:t>
      </w:r>
      <w:proofErr w:type="spellEnd"/>
      <w:r w:rsidRPr="00B1441D">
        <w:rPr>
          <w:i/>
        </w:rPr>
        <w:t>(6’)-</w:t>
      </w:r>
      <w:proofErr w:type="spellStart"/>
      <w:r w:rsidRPr="00B1441D">
        <w:rPr>
          <w:i/>
        </w:rPr>
        <w:t>Ib-cr</w:t>
      </w:r>
      <w:proofErr w:type="spellEnd"/>
      <w:r w:rsidRPr="00B1441D">
        <w:t xml:space="preserve">, </w:t>
      </w:r>
      <w:proofErr w:type="spellStart"/>
      <w:r w:rsidRPr="00B1441D">
        <w:rPr>
          <w:i/>
        </w:rPr>
        <w:t>oqxA</w:t>
      </w:r>
      <w:proofErr w:type="spellEnd"/>
      <w:r w:rsidRPr="00B1441D">
        <w:t xml:space="preserve">, </w:t>
      </w:r>
      <w:proofErr w:type="spellStart"/>
      <w:r w:rsidRPr="00B1441D">
        <w:rPr>
          <w:i/>
        </w:rPr>
        <w:t>oqxB</w:t>
      </w:r>
      <w:proofErr w:type="spellEnd"/>
      <w:r w:rsidRPr="00B1441D">
        <w:t xml:space="preserve">, </w:t>
      </w:r>
      <w:proofErr w:type="spellStart"/>
      <w:r w:rsidRPr="00B1441D">
        <w:rPr>
          <w:i/>
        </w:rPr>
        <w:t>qepA</w:t>
      </w:r>
      <w:proofErr w:type="spellEnd"/>
      <w:r w:rsidRPr="00B1441D">
        <w:rPr>
          <w:i/>
        </w:rPr>
        <w:t xml:space="preserve">, </w:t>
      </w:r>
      <w:proofErr w:type="spellStart"/>
      <w:r w:rsidRPr="00B1441D">
        <w:rPr>
          <w:i/>
        </w:rPr>
        <w:t>qnrA</w:t>
      </w:r>
      <w:proofErr w:type="spellEnd"/>
      <w:r w:rsidRPr="00B1441D">
        <w:t xml:space="preserve">, </w:t>
      </w:r>
      <w:proofErr w:type="spellStart"/>
      <w:r w:rsidRPr="00B1441D">
        <w:rPr>
          <w:i/>
        </w:rPr>
        <w:t>qnrB</w:t>
      </w:r>
      <w:proofErr w:type="spellEnd"/>
      <w:r w:rsidRPr="00B1441D">
        <w:t xml:space="preserve">, </w:t>
      </w:r>
      <w:proofErr w:type="spellStart"/>
      <w:r w:rsidRPr="00B1441D">
        <w:rPr>
          <w:i/>
        </w:rPr>
        <w:t>qnrC</w:t>
      </w:r>
      <w:proofErr w:type="spellEnd"/>
      <w:r w:rsidRPr="00B1441D">
        <w:t xml:space="preserve">, </w:t>
      </w:r>
      <w:proofErr w:type="spellStart"/>
      <w:r w:rsidRPr="00B1441D">
        <w:rPr>
          <w:i/>
        </w:rPr>
        <w:t>qnrD</w:t>
      </w:r>
      <w:proofErr w:type="spellEnd"/>
      <w:r w:rsidRPr="00B1441D">
        <w:t xml:space="preserve">, and </w:t>
      </w:r>
      <w:proofErr w:type="spellStart"/>
      <w:r w:rsidRPr="00B1441D">
        <w:rPr>
          <w:i/>
        </w:rPr>
        <w:t>qnrS</w:t>
      </w:r>
      <w:proofErr w:type="spellEnd"/>
      <w:r w:rsidRPr="00B1441D">
        <w:t xml:space="preserve"> and mutations in </w:t>
      </w:r>
      <w:proofErr w:type="spellStart"/>
      <w:r w:rsidRPr="00B1441D">
        <w:rPr>
          <w:i/>
        </w:rPr>
        <w:t>gyrA</w:t>
      </w:r>
      <w:proofErr w:type="spellEnd"/>
      <w:r w:rsidRPr="00B1441D">
        <w:t xml:space="preserve"> and </w:t>
      </w:r>
      <w:proofErr w:type="spellStart"/>
      <w:r w:rsidRPr="00B1441D">
        <w:rPr>
          <w:i/>
        </w:rPr>
        <w:t>parC</w:t>
      </w:r>
      <w:proofErr w:type="spellEnd"/>
      <w:r w:rsidRPr="00B1441D">
        <w:t xml:space="preserve"> was determined for a subset of isolates with the study phenotype using </w:t>
      </w:r>
      <w:r w:rsidR="00F416C9">
        <w:t>polymerase chain reaction (</w:t>
      </w:r>
      <w:r w:rsidRPr="00B1441D">
        <w:t>PCR</w:t>
      </w:r>
      <w:r w:rsidR="00F416C9">
        <w:t>)</w:t>
      </w:r>
      <w:r w:rsidRPr="00B1441D">
        <w:t xml:space="preserve"> and/or whole genome sequencing (WGS). DNA templates for PCR </w:t>
      </w:r>
      <w:proofErr w:type="gramStart"/>
      <w:r w:rsidRPr="00B1441D">
        <w:t>were prepared</w:t>
      </w:r>
      <w:proofErr w:type="gramEnd"/>
      <w:r w:rsidRPr="00B1441D">
        <w:t xml:space="preserve"> by lysing the bacteria at 95°C for 10 minutes and collecting the supernatant following centrifugation for 10 minutes at 20,000xg. PCR was conducted using 2x </w:t>
      </w:r>
      <w:proofErr w:type="spellStart"/>
      <w:r w:rsidRPr="00B1441D">
        <w:t>HotStarTaq</w:t>
      </w:r>
      <w:proofErr w:type="spellEnd"/>
      <w:r w:rsidRPr="00B1441D">
        <w:t xml:space="preserve"> PCR Master Mix (</w:t>
      </w:r>
      <w:proofErr w:type="spellStart"/>
      <w:r w:rsidRPr="00B1441D">
        <w:t>Qiagen</w:t>
      </w:r>
      <w:proofErr w:type="spellEnd"/>
      <w:r w:rsidRPr="00B1441D">
        <w:t xml:space="preserve"> Inc., Valencia, CA), 0.4 µM of each primer, 5 µL of lysate, and sterile PCR water to a final volume of 50 µL. PCR primers used in this study are presented in </w:t>
      </w:r>
      <w:r w:rsidR="008A3314" w:rsidRPr="00B1441D">
        <w:t>Supplemental</w:t>
      </w:r>
      <w:r w:rsidRPr="00B1441D">
        <w:t xml:space="preserve"> Table 1. Direct sequencing of the PCR product confirmed the presence of the</w:t>
      </w:r>
      <w:r w:rsidRPr="00B1441D">
        <w:rPr>
          <w:i/>
        </w:rPr>
        <w:t xml:space="preserve"> </w:t>
      </w:r>
      <w:proofErr w:type="spellStart"/>
      <w:proofErr w:type="gramStart"/>
      <w:r w:rsidRPr="00B1441D">
        <w:rPr>
          <w:i/>
        </w:rPr>
        <w:t>aac</w:t>
      </w:r>
      <w:proofErr w:type="spellEnd"/>
      <w:r w:rsidRPr="00B1441D">
        <w:rPr>
          <w:i/>
        </w:rPr>
        <w:t>(</w:t>
      </w:r>
      <w:proofErr w:type="gramEnd"/>
      <w:r w:rsidRPr="00B1441D">
        <w:rPr>
          <w:i/>
        </w:rPr>
        <w:t>6’)-</w:t>
      </w:r>
      <w:proofErr w:type="spellStart"/>
      <w:r w:rsidRPr="00B1441D">
        <w:rPr>
          <w:i/>
        </w:rPr>
        <w:t>Ib-cr</w:t>
      </w:r>
      <w:proofErr w:type="spellEnd"/>
      <w:r w:rsidRPr="00B1441D">
        <w:t xml:space="preserve"> variant. The </w:t>
      </w:r>
      <w:proofErr w:type="spellStart"/>
      <w:r w:rsidRPr="00B1441D">
        <w:rPr>
          <w:i/>
        </w:rPr>
        <w:t>gyrA</w:t>
      </w:r>
      <w:proofErr w:type="spellEnd"/>
      <w:r w:rsidRPr="00B1441D">
        <w:t xml:space="preserve"> and </w:t>
      </w:r>
      <w:proofErr w:type="spellStart"/>
      <w:r w:rsidRPr="00B1441D">
        <w:rPr>
          <w:i/>
        </w:rPr>
        <w:t>parC</w:t>
      </w:r>
      <w:proofErr w:type="spellEnd"/>
      <w:r w:rsidRPr="00B1441D">
        <w:t xml:space="preserve"> PCR products </w:t>
      </w:r>
      <w:proofErr w:type="gramStart"/>
      <w:r w:rsidRPr="00B1441D">
        <w:t>were sequenced</w:t>
      </w:r>
      <w:proofErr w:type="gramEnd"/>
      <w:r w:rsidRPr="00B1441D">
        <w:t xml:space="preserve"> as previously described (</w:t>
      </w:r>
      <w:r w:rsidR="0040625E">
        <w:t>Gay</w:t>
      </w:r>
      <w:r w:rsidR="00F416C9">
        <w:t xml:space="preserve"> et al.</w:t>
      </w:r>
      <w:r w:rsidR="0040625E">
        <w:t>, 2006</w:t>
      </w:r>
      <w:r w:rsidRPr="00B1441D">
        <w:t xml:space="preserve">). Genomic DNA for WGS </w:t>
      </w:r>
      <w:proofErr w:type="gramStart"/>
      <w:r w:rsidRPr="00B1441D">
        <w:t>was purified</w:t>
      </w:r>
      <w:proofErr w:type="gramEnd"/>
      <w:r w:rsidRPr="00B1441D">
        <w:t xml:space="preserve"> using the </w:t>
      </w:r>
      <w:proofErr w:type="spellStart"/>
      <w:r w:rsidRPr="00B1441D">
        <w:t>DNeasy</w:t>
      </w:r>
      <w:proofErr w:type="spellEnd"/>
      <w:r w:rsidRPr="00B1441D">
        <w:t xml:space="preserve"> Blood and Tissue Kit (</w:t>
      </w:r>
      <w:proofErr w:type="spellStart"/>
      <w:r w:rsidRPr="00B1441D">
        <w:t>Qiagen</w:t>
      </w:r>
      <w:proofErr w:type="spellEnd"/>
      <w:r w:rsidRPr="00B1441D">
        <w:t xml:space="preserve"> Inc.) or the </w:t>
      </w:r>
      <w:proofErr w:type="spellStart"/>
      <w:r w:rsidRPr="00B1441D">
        <w:t>Agencourt</w:t>
      </w:r>
      <w:proofErr w:type="spellEnd"/>
      <w:r w:rsidRPr="00B1441D">
        <w:t xml:space="preserve"> </w:t>
      </w:r>
      <w:proofErr w:type="spellStart"/>
      <w:r w:rsidRPr="00B1441D">
        <w:t>Genfind</w:t>
      </w:r>
      <w:proofErr w:type="spellEnd"/>
      <w:r w:rsidRPr="00B1441D">
        <w:t xml:space="preserve"> V2 kit (Beckman Coulter Life Sciences, Indianapolis, IN) according to the manufacturer’s protocols. To improve DNA yield from the </w:t>
      </w:r>
      <w:proofErr w:type="spellStart"/>
      <w:r w:rsidRPr="00B1441D">
        <w:t>Agencourt</w:t>
      </w:r>
      <w:proofErr w:type="spellEnd"/>
      <w:r w:rsidRPr="00B1441D">
        <w:t xml:space="preserve"> </w:t>
      </w:r>
      <w:proofErr w:type="spellStart"/>
      <w:r w:rsidRPr="00B1441D">
        <w:t>Genfind</w:t>
      </w:r>
      <w:proofErr w:type="spellEnd"/>
      <w:r w:rsidRPr="00B1441D">
        <w:t xml:space="preserve"> V2 kit, a heating step at 85°C for 7 minutes in molecular grade water </w:t>
      </w:r>
      <w:proofErr w:type="gramStart"/>
      <w:r w:rsidRPr="00B1441D">
        <w:t>was added</w:t>
      </w:r>
      <w:proofErr w:type="gramEnd"/>
      <w:r w:rsidRPr="00B1441D">
        <w:t xml:space="preserve"> and the shake step was extended to 45 minutes. Libraries </w:t>
      </w:r>
      <w:proofErr w:type="gramStart"/>
      <w:r w:rsidRPr="00B1441D">
        <w:t>were constructed</w:t>
      </w:r>
      <w:proofErr w:type="gramEnd"/>
      <w:r w:rsidRPr="00B1441D">
        <w:t xml:space="preserve"> for the genome inclusive of plasmid using </w:t>
      </w:r>
      <w:proofErr w:type="spellStart"/>
      <w:r w:rsidRPr="00B1441D">
        <w:t>NexteraXT</w:t>
      </w:r>
      <w:proofErr w:type="spellEnd"/>
      <w:r w:rsidRPr="00B1441D">
        <w:t xml:space="preserve"> library kits and paired end, base pair reads were generated on a </w:t>
      </w:r>
      <w:proofErr w:type="spellStart"/>
      <w:r w:rsidRPr="00B1441D">
        <w:t>MiSeq</w:t>
      </w:r>
      <w:proofErr w:type="spellEnd"/>
      <w:r w:rsidRPr="00B1441D">
        <w:t xml:space="preserve"> or </w:t>
      </w:r>
      <w:proofErr w:type="spellStart"/>
      <w:r w:rsidRPr="00B1441D">
        <w:t>HiSeq</w:t>
      </w:r>
      <w:proofErr w:type="spellEnd"/>
      <w:r w:rsidRPr="00B1441D">
        <w:t xml:space="preserve"> (</w:t>
      </w:r>
      <w:proofErr w:type="spellStart"/>
      <w:r w:rsidRPr="00B1441D">
        <w:t>Ilumina</w:t>
      </w:r>
      <w:proofErr w:type="spellEnd"/>
      <w:r w:rsidRPr="00B1441D">
        <w:t xml:space="preserve">, San Diego, CA). </w:t>
      </w:r>
      <w:proofErr w:type="spellStart"/>
      <w:proofErr w:type="gramStart"/>
      <w:r w:rsidRPr="00B1441D">
        <w:rPr>
          <w:i/>
        </w:rPr>
        <w:t>gyrA</w:t>
      </w:r>
      <w:proofErr w:type="spellEnd"/>
      <w:proofErr w:type="gramEnd"/>
      <w:r w:rsidRPr="00B1441D">
        <w:t xml:space="preserve"> and </w:t>
      </w:r>
      <w:proofErr w:type="spellStart"/>
      <w:r w:rsidRPr="00B1441D">
        <w:rPr>
          <w:i/>
        </w:rPr>
        <w:t>parC</w:t>
      </w:r>
      <w:proofErr w:type="spellEnd"/>
      <w:r w:rsidRPr="00B1441D">
        <w:t xml:space="preserve"> were examined for previously described mutations conferring resistance (</w:t>
      </w:r>
      <w:r w:rsidR="0040625E">
        <w:t>Gay</w:t>
      </w:r>
      <w:r w:rsidR="00F416C9">
        <w:t xml:space="preserve"> et al.</w:t>
      </w:r>
      <w:r w:rsidR="0040625E">
        <w:t>, 2006</w:t>
      </w:r>
      <w:r w:rsidRPr="00B1441D">
        <w:t>) by mapping the raw reads to a reference genome (AE014613) in CLC Genomics Workbench 8.5 (</w:t>
      </w:r>
      <w:proofErr w:type="spellStart"/>
      <w:r w:rsidRPr="00B1441D">
        <w:t>Qiagen</w:t>
      </w:r>
      <w:proofErr w:type="spellEnd"/>
      <w:r w:rsidRPr="00B1441D">
        <w:t xml:space="preserve"> Inc.). The raw reads were assembled </w:t>
      </w:r>
      <w:r w:rsidRPr="00B1441D">
        <w:rPr>
          <w:i/>
        </w:rPr>
        <w:t>de novo</w:t>
      </w:r>
      <w:r w:rsidRPr="00B1441D">
        <w:t xml:space="preserve"> using CLC Genomics Workbench 8.5 and assemblies were analyzed using tools developed by the Center of Genomic Epidemiology (</w:t>
      </w:r>
      <w:hyperlink r:id="rId6" w:history="1">
        <w:r w:rsidRPr="008612D0">
          <w:rPr>
            <w:rStyle w:val="Hyperlink"/>
            <w:color w:val="auto"/>
            <w:u w:val="none"/>
          </w:rPr>
          <w:t>http://cge.cbs.dtu.dk/services/</w:t>
        </w:r>
      </w:hyperlink>
      <w:r w:rsidRPr="00B1441D">
        <w:t xml:space="preserve">). </w:t>
      </w:r>
      <w:proofErr w:type="spellStart"/>
      <w:r w:rsidRPr="00B1441D">
        <w:t>ResFinder</w:t>
      </w:r>
      <w:proofErr w:type="spellEnd"/>
      <w:r w:rsidRPr="00B1441D">
        <w:t xml:space="preserve"> </w:t>
      </w:r>
      <w:proofErr w:type="gramStart"/>
      <w:r w:rsidRPr="00B1441D">
        <w:t>was used</w:t>
      </w:r>
      <w:proofErr w:type="gramEnd"/>
      <w:r w:rsidRPr="00B1441D">
        <w:t xml:space="preserve"> with a 90% threshold for percent identity and 60% gene coverage. Sequence reads </w:t>
      </w:r>
      <w:proofErr w:type="gramStart"/>
      <w:r w:rsidRPr="00B1441D">
        <w:t>were submitted</w:t>
      </w:r>
      <w:proofErr w:type="gramEnd"/>
      <w:r w:rsidRPr="00B1441D">
        <w:t xml:space="preserve"> to the Sequence Read Archive of the National Center for Biotechnology Information (NCBI) and corresponding </w:t>
      </w:r>
      <w:proofErr w:type="spellStart"/>
      <w:r w:rsidRPr="00B1441D">
        <w:t>BioSample</w:t>
      </w:r>
      <w:proofErr w:type="spellEnd"/>
      <w:r w:rsidRPr="00B1441D">
        <w:t xml:space="preserve"> numbers are provided in </w:t>
      </w:r>
      <w:r w:rsidR="008A3314" w:rsidRPr="00B1441D">
        <w:t>Supplemental</w:t>
      </w:r>
      <w:r w:rsidRPr="00B1441D">
        <w:t xml:space="preserve"> Table 2.</w:t>
      </w:r>
    </w:p>
    <w:p w:rsidR="00064401" w:rsidRPr="00B1441D" w:rsidRDefault="00064401" w:rsidP="00D1573A">
      <w:pPr>
        <w:spacing w:after="0" w:line="276" w:lineRule="auto"/>
      </w:pPr>
    </w:p>
    <w:p w:rsidR="00D1573A" w:rsidRDefault="00D1573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4401" w:rsidRPr="00BF2981" w:rsidRDefault="008A3314" w:rsidP="00064401">
      <w:pPr>
        <w:rPr>
          <w:sz w:val="18"/>
          <w:szCs w:val="18"/>
        </w:rPr>
      </w:pPr>
      <w:r w:rsidRPr="00D46867">
        <w:rPr>
          <w:b/>
          <w:sz w:val="18"/>
          <w:szCs w:val="18"/>
        </w:rPr>
        <w:lastRenderedPageBreak/>
        <w:t>S</w:t>
      </w:r>
      <w:r w:rsidR="00D46867">
        <w:rPr>
          <w:b/>
          <w:sz w:val="18"/>
          <w:szCs w:val="18"/>
        </w:rPr>
        <w:t>UPPLEMENTAL TABLE 1</w:t>
      </w:r>
      <w:r w:rsidR="00064401" w:rsidRPr="00D46867">
        <w:rPr>
          <w:b/>
          <w:sz w:val="18"/>
          <w:szCs w:val="18"/>
        </w:rPr>
        <w:t xml:space="preserve">. </w:t>
      </w:r>
      <w:r w:rsidR="00064401" w:rsidRPr="00BF2981">
        <w:rPr>
          <w:sz w:val="18"/>
          <w:szCs w:val="18"/>
        </w:rPr>
        <w:t>PCR primers used for detection of quinolone resistance mechanisms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1890"/>
        <w:gridCol w:w="3150"/>
        <w:gridCol w:w="1710"/>
      </w:tblGrid>
      <w:tr w:rsidR="00855847" w:rsidRPr="00064401" w:rsidTr="0022157B">
        <w:trPr>
          <w:trHeight w:hRule="exact" w:val="504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64401" w:rsidRPr="00973509" w:rsidRDefault="00064401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Gene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64401" w:rsidRPr="00973509" w:rsidRDefault="00064401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Primer 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855847" w:rsidRPr="00973509" w:rsidRDefault="00064401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Sequence (5’-3’)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064401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a</w:t>
            </w:r>
            <w:r w:rsidRPr="00973509">
              <w:rPr>
                <w:i/>
                <w:sz w:val="18"/>
                <w:szCs w:val="18"/>
              </w:rPr>
              <w:t>c</w:t>
            </w:r>
            <w:proofErr w:type="spellEnd"/>
            <w:r w:rsidRPr="00973509">
              <w:rPr>
                <w:i/>
                <w:sz w:val="18"/>
                <w:szCs w:val="18"/>
              </w:rPr>
              <w:t>(6’)-</w:t>
            </w:r>
            <w:proofErr w:type="spellStart"/>
            <w:r w:rsidRPr="00973509">
              <w:rPr>
                <w:i/>
                <w:sz w:val="18"/>
                <w:szCs w:val="18"/>
              </w:rPr>
              <w:t>Ib-cr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aac</w:t>
            </w:r>
            <w:proofErr w:type="spellEnd"/>
            <w:r w:rsidRPr="00973509">
              <w:rPr>
                <w:i/>
                <w:sz w:val="18"/>
                <w:szCs w:val="18"/>
              </w:rPr>
              <w:t>(6’)-</w:t>
            </w:r>
            <w:proofErr w:type="spellStart"/>
            <w:r w:rsidRPr="00973509">
              <w:rPr>
                <w:i/>
                <w:sz w:val="18"/>
                <w:szCs w:val="18"/>
              </w:rPr>
              <w:t>Ib-cr</w:t>
            </w:r>
            <w:proofErr w:type="spellEnd"/>
            <w:r w:rsidRPr="00973509">
              <w:rPr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5’-TTGCGATGCTCTATGAGTGGCTA-3’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40625E" w:rsidRDefault="008E2445" w:rsidP="008E2445">
            <w:pPr>
              <w:spacing w:after="160"/>
              <w:rPr>
                <w:sz w:val="18"/>
                <w:szCs w:val="18"/>
              </w:rPr>
            </w:pPr>
            <w:r w:rsidRPr="0040625E">
              <w:rPr>
                <w:sz w:val="18"/>
                <w:szCs w:val="18"/>
              </w:rPr>
              <w:t>Park</w:t>
            </w:r>
            <w:r w:rsidR="004311EA">
              <w:rPr>
                <w:sz w:val="18"/>
                <w:szCs w:val="18"/>
              </w:rPr>
              <w:t xml:space="preserve"> et al.</w:t>
            </w:r>
            <w:r w:rsidRPr="0040625E">
              <w:rPr>
                <w:sz w:val="18"/>
                <w:szCs w:val="18"/>
              </w:rPr>
              <w:t>, 2006</w:t>
            </w: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aac</w:t>
            </w:r>
            <w:proofErr w:type="spellEnd"/>
            <w:r w:rsidRPr="00973509">
              <w:rPr>
                <w:i/>
                <w:sz w:val="18"/>
                <w:szCs w:val="18"/>
              </w:rPr>
              <w:t>(6’)-</w:t>
            </w:r>
            <w:proofErr w:type="spellStart"/>
            <w:r w:rsidRPr="00973509">
              <w:rPr>
                <w:i/>
                <w:sz w:val="18"/>
                <w:szCs w:val="18"/>
              </w:rPr>
              <w:t>Ib-cr</w:t>
            </w:r>
            <w:proofErr w:type="spellEnd"/>
            <w:r w:rsidRPr="00973509">
              <w:rPr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5’-CTCGAATGCCTGGCGTGTTT-3’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gyrA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gyrA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5’-CGTTGGTGACGTAATCGGTA-3’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Eaves</w:t>
            </w:r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2002</w:t>
            </w: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gyrA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5’-CCGTACCGTCATAGTTATCC-3’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oqxA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oqxA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5’-CCGGACAAAGGAAGTGGC-3’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Yuan</w:t>
            </w:r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2012</w:t>
            </w: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oqxA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5’-GGAGACGACGTTGGTATGGA-3’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oqxB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oqxB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5’-ACCAACACGCCGAATACC-3’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Yuan</w:t>
            </w:r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2012</w:t>
            </w: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oqxB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5’-CATCAGGACCACCAGACCC-3’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parC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parC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5’-CTATGCGATGTCAGAGCTGG-3’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Eaves</w:t>
            </w:r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2004</w:t>
            </w:r>
          </w:p>
        </w:tc>
      </w:tr>
      <w:tr w:rsidR="008E2445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8E2445" w:rsidRPr="00973509" w:rsidRDefault="008E2445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parC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445" w:rsidRPr="00973509" w:rsidRDefault="008E2445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5’-TAACAGCAGCTCGGCGTATT-3’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2445" w:rsidRPr="008E2445" w:rsidRDefault="008E2445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qepA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qepA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5’-AACTGCTTGAGCCCGTAGAT-3’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</w:t>
            </w:r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2009</w:t>
            </w: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qepA</w:t>
            </w:r>
            <w:proofErr w:type="spellEnd"/>
            <w:r w:rsidRPr="00973509">
              <w:rPr>
                <w:i/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5’-GTCTACGCCATGGACCTCAC-3’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qnrA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qnrA</w:t>
            </w:r>
            <w:proofErr w:type="spellEnd"/>
            <w:r w:rsidRPr="00973509">
              <w:rPr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5’-ATTTCTCACGCCAGGATTTG-3’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Robicsek</w:t>
            </w:r>
            <w:proofErr w:type="spellEnd"/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2006</w:t>
            </w: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qnrA</w:t>
            </w:r>
            <w:proofErr w:type="spellEnd"/>
            <w:r w:rsidRPr="00973509">
              <w:rPr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5’-GATCGGCAAAGGTTAGGTCA-3’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qnrB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qnrB</w:t>
            </w:r>
            <w:proofErr w:type="spellEnd"/>
            <w:r w:rsidRPr="00973509">
              <w:rPr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5’-GATCGTGAAAGCCAGAAAGG-3’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Robicsek</w:t>
            </w:r>
            <w:proofErr w:type="spellEnd"/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2006</w:t>
            </w: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qnrB</w:t>
            </w:r>
            <w:proofErr w:type="spellEnd"/>
            <w:r w:rsidRPr="00973509">
              <w:rPr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5’-ACGATGCCTGGTAGTTGTCC-3’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qnrC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qnrC</w:t>
            </w:r>
            <w:proofErr w:type="spellEnd"/>
            <w:r w:rsidRPr="00973509">
              <w:rPr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5’-GGGTTGTACATTTATTGAATC-3’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Wang</w:t>
            </w:r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2009</w:t>
            </w: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qnrC</w:t>
            </w:r>
            <w:proofErr w:type="spellEnd"/>
            <w:r w:rsidRPr="00973509">
              <w:rPr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5’-TCCACTTTACGAGGTTCT-3’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qnrD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qnrD</w:t>
            </w:r>
            <w:proofErr w:type="spellEnd"/>
            <w:r w:rsidRPr="00973509">
              <w:rPr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5’-CGAGATCAATTTACGGGGAATA-3’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Cavaco</w:t>
            </w:r>
            <w:proofErr w:type="spellEnd"/>
            <w:r w:rsidR="004311EA">
              <w:rPr>
                <w:sz w:val="18"/>
                <w:szCs w:val="18"/>
              </w:rPr>
              <w:t xml:space="preserve"> et al.</w:t>
            </w:r>
            <w:r>
              <w:rPr>
                <w:sz w:val="18"/>
                <w:szCs w:val="18"/>
              </w:rPr>
              <w:t>, 2009</w:t>
            </w: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qnrD</w:t>
            </w:r>
            <w:proofErr w:type="spellEnd"/>
            <w:r w:rsidRPr="00973509">
              <w:rPr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5’-AACAAGCTGAAGCGCCTG-3’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qnrS</w:t>
            </w:r>
            <w:proofErr w:type="spellEnd"/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qnrS</w:t>
            </w:r>
            <w:proofErr w:type="spellEnd"/>
            <w:r w:rsidRPr="00973509">
              <w:rPr>
                <w:sz w:val="18"/>
                <w:szCs w:val="18"/>
              </w:rPr>
              <w:t xml:space="preserve"> Forward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5’-ACGACATTCGTCAACTGCAA-3’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  <w:proofErr w:type="spellStart"/>
            <w:r w:rsidRPr="00AC26F2">
              <w:rPr>
                <w:sz w:val="18"/>
                <w:szCs w:val="18"/>
              </w:rPr>
              <w:t>Robicsek</w:t>
            </w:r>
            <w:proofErr w:type="spellEnd"/>
            <w:r w:rsidR="004311EA">
              <w:rPr>
                <w:sz w:val="18"/>
                <w:szCs w:val="18"/>
              </w:rPr>
              <w:t xml:space="preserve"> et al.</w:t>
            </w:r>
            <w:r w:rsidRPr="00AC26F2">
              <w:rPr>
                <w:sz w:val="18"/>
                <w:szCs w:val="18"/>
              </w:rPr>
              <w:t>, 2006</w:t>
            </w:r>
          </w:p>
        </w:tc>
      </w:tr>
      <w:tr w:rsidR="00AC26F2" w:rsidRPr="00064401" w:rsidTr="0022157B">
        <w:trPr>
          <w:trHeight w:hRule="exact" w:val="317"/>
        </w:trPr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i/>
                <w:sz w:val="18"/>
                <w:szCs w:val="18"/>
              </w:rPr>
            </w:pPr>
            <w:proofErr w:type="spellStart"/>
            <w:r w:rsidRPr="00973509">
              <w:rPr>
                <w:i/>
                <w:sz w:val="18"/>
                <w:szCs w:val="18"/>
              </w:rPr>
              <w:t>qnrS</w:t>
            </w:r>
            <w:proofErr w:type="spellEnd"/>
            <w:r w:rsidRPr="00973509">
              <w:rPr>
                <w:sz w:val="18"/>
                <w:szCs w:val="18"/>
              </w:rPr>
              <w:t xml:space="preserve"> Reverse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6F2" w:rsidRPr="00973509" w:rsidRDefault="00AC26F2" w:rsidP="00774468">
            <w:pPr>
              <w:spacing w:after="160"/>
              <w:rPr>
                <w:sz w:val="18"/>
                <w:szCs w:val="18"/>
              </w:rPr>
            </w:pPr>
            <w:r w:rsidRPr="00973509">
              <w:rPr>
                <w:sz w:val="18"/>
                <w:szCs w:val="18"/>
              </w:rPr>
              <w:t>5’-TAAATTGGCACCCTGTAGGC-3’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6F2" w:rsidRPr="008E2445" w:rsidRDefault="00AC26F2" w:rsidP="008E2445">
            <w:pPr>
              <w:spacing w:after="160"/>
              <w:rPr>
                <w:sz w:val="18"/>
                <w:szCs w:val="18"/>
              </w:rPr>
            </w:pPr>
          </w:p>
        </w:tc>
      </w:tr>
    </w:tbl>
    <w:p w:rsidR="00BF2981" w:rsidRDefault="00BF2981" w:rsidP="00064401">
      <w:pPr>
        <w:spacing w:line="240" w:lineRule="auto"/>
      </w:pPr>
    </w:p>
    <w:p w:rsidR="00CE145B" w:rsidRDefault="00B903E3" w:rsidP="00CE145B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8A3314" w:rsidRPr="00D46867">
        <w:rPr>
          <w:b/>
          <w:sz w:val="18"/>
          <w:szCs w:val="18"/>
        </w:rPr>
        <w:lastRenderedPageBreak/>
        <w:t>S</w:t>
      </w:r>
      <w:r w:rsidR="00D46867">
        <w:rPr>
          <w:b/>
          <w:sz w:val="18"/>
          <w:szCs w:val="18"/>
        </w:rPr>
        <w:t>UPPLEMENTAL TABLE 2</w:t>
      </w:r>
      <w:r w:rsidR="00BF2981" w:rsidRPr="00D46867">
        <w:rPr>
          <w:b/>
          <w:sz w:val="18"/>
          <w:szCs w:val="18"/>
        </w:rPr>
        <w:t>.</w:t>
      </w:r>
      <w:r w:rsidR="00BF2981" w:rsidRPr="00BF2981">
        <w:rPr>
          <w:sz w:val="18"/>
          <w:szCs w:val="18"/>
        </w:rPr>
        <w:t xml:space="preserve"> </w:t>
      </w:r>
      <w:proofErr w:type="spellStart"/>
      <w:r w:rsidR="00BF2981" w:rsidRPr="00BF2981">
        <w:rPr>
          <w:sz w:val="18"/>
          <w:szCs w:val="18"/>
        </w:rPr>
        <w:t>BioSample</w:t>
      </w:r>
      <w:proofErr w:type="spellEnd"/>
      <w:r w:rsidR="00BF2981" w:rsidRPr="00BF2981">
        <w:rPr>
          <w:sz w:val="18"/>
          <w:szCs w:val="18"/>
        </w:rPr>
        <w:t xml:space="preserve"> numbers and isolate information for sequenced </w:t>
      </w:r>
      <w:proofErr w:type="spellStart"/>
      <w:r w:rsidR="00BF2981" w:rsidRPr="00BF2981">
        <w:rPr>
          <w:sz w:val="18"/>
          <w:szCs w:val="18"/>
        </w:rPr>
        <w:t>nontyphoidal</w:t>
      </w:r>
      <w:proofErr w:type="spellEnd"/>
      <w:r w:rsidR="00BF2981" w:rsidRPr="00BF2981">
        <w:rPr>
          <w:sz w:val="18"/>
          <w:szCs w:val="18"/>
        </w:rPr>
        <w:t xml:space="preserve"> </w:t>
      </w:r>
      <w:r w:rsidR="00BF2981" w:rsidRPr="00BF2981">
        <w:rPr>
          <w:i/>
          <w:sz w:val="18"/>
          <w:szCs w:val="18"/>
        </w:rPr>
        <w:t>Salmonella</w:t>
      </w:r>
      <w:r w:rsidR="00BF2981" w:rsidRPr="00BF2981">
        <w:rPr>
          <w:sz w:val="18"/>
          <w:szCs w:val="18"/>
        </w:rPr>
        <w:t xml:space="preserve"> </w:t>
      </w:r>
    </w:p>
    <w:p w:rsidR="00BF2981" w:rsidRDefault="00BF2981" w:rsidP="00CE145B">
      <w:pPr>
        <w:spacing w:after="0"/>
        <w:rPr>
          <w:sz w:val="18"/>
          <w:szCs w:val="18"/>
        </w:rPr>
      </w:pPr>
      <w:proofErr w:type="gramStart"/>
      <w:r w:rsidRPr="00BF2981">
        <w:rPr>
          <w:sz w:val="18"/>
          <w:szCs w:val="18"/>
        </w:rPr>
        <w:t>isolates</w:t>
      </w:r>
      <w:proofErr w:type="gramEnd"/>
      <w:r w:rsidRPr="00BF2981">
        <w:rPr>
          <w:sz w:val="18"/>
          <w:szCs w:val="18"/>
        </w:rPr>
        <w:t xml:space="preserve"> with the study phenotype (ciprofloxacin MIC ≥0.25 µg/mL and </w:t>
      </w:r>
      <w:proofErr w:type="spellStart"/>
      <w:r w:rsidRPr="00BF2981">
        <w:rPr>
          <w:sz w:val="18"/>
          <w:szCs w:val="18"/>
        </w:rPr>
        <w:t>nalidixic</w:t>
      </w:r>
      <w:proofErr w:type="spellEnd"/>
      <w:r w:rsidRPr="00BF2981">
        <w:rPr>
          <w:sz w:val="18"/>
          <w:szCs w:val="18"/>
        </w:rPr>
        <w:t xml:space="preserve"> acid susceptibility)  </w:t>
      </w:r>
    </w:p>
    <w:p w:rsidR="00CE145B" w:rsidRPr="00CE145B" w:rsidRDefault="00CE145B" w:rsidP="00CE145B">
      <w:pPr>
        <w:spacing w:after="0"/>
        <w:rPr>
          <w:sz w:val="8"/>
          <w:szCs w:val="8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00"/>
        <w:gridCol w:w="1350"/>
        <w:gridCol w:w="1080"/>
        <w:gridCol w:w="2700"/>
        <w:gridCol w:w="990"/>
      </w:tblGrid>
      <w:tr w:rsidR="008A3314" w:rsidRPr="00064401" w:rsidTr="006D7412">
        <w:trPr>
          <w:trHeight w:hRule="exact" w:val="50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F2981" w:rsidRPr="00BF2981" w:rsidRDefault="008C4F32" w:rsidP="00774468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BioSample</w:t>
            </w:r>
            <w:proofErr w:type="spellEnd"/>
            <w:r>
              <w:rPr>
                <w:sz w:val="18"/>
                <w:szCs w:val="18"/>
              </w:rPr>
              <w:t xml:space="preserve"> no.</w:t>
            </w:r>
            <w:r>
              <w:rPr>
                <w:rFonts w:cstheme="minorHAnsi"/>
                <w:sz w:val="18"/>
                <w:szCs w:val="18"/>
              </w:rPr>
              <w:t>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F2981" w:rsidRPr="00BF2981" w:rsidRDefault="00BF2981" w:rsidP="00774468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Serotype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2981" w:rsidRPr="00BF2981" w:rsidRDefault="00BF2981" w:rsidP="00774468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Year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F2981" w:rsidRPr="00BF2981" w:rsidRDefault="00BF2981" w:rsidP="00774468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Quinolone resistance mechanism(s) identified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F2981" w:rsidRPr="00BF2981" w:rsidRDefault="00BF2981" w:rsidP="00774468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Manuscript table no.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SAMN08339881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Apapa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1, 3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SAMN05596266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Bareilly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qnrS1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SAMN05907729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Berta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none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SAMN08339809</w:t>
            </w:r>
          </w:p>
        </w:tc>
        <w:tc>
          <w:tcPr>
            <w:tcW w:w="135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Enteritidis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2012</w:t>
            </w:r>
          </w:p>
        </w:tc>
        <w:tc>
          <w:tcPr>
            <w:tcW w:w="27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i/>
                <w:sz w:val="18"/>
                <w:szCs w:val="18"/>
              </w:rPr>
              <w:t>gyrA</w:t>
            </w:r>
            <w:proofErr w:type="spellEnd"/>
            <w:r w:rsidRPr="00BF2981">
              <w:rPr>
                <w:sz w:val="18"/>
                <w:szCs w:val="18"/>
              </w:rPr>
              <w:t xml:space="preserve"> (Gly81Asp)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SAMN08340035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Enteritidis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SAMN08339827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Guinea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1, 3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SAMN08340040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Guinea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SAMN08342306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Isangi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SAMN08340045</w:t>
            </w:r>
          </w:p>
        </w:tc>
        <w:tc>
          <w:tcPr>
            <w:tcW w:w="135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Ituri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2010</w:t>
            </w:r>
          </w:p>
        </w:tc>
        <w:tc>
          <w:tcPr>
            <w:tcW w:w="27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i/>
                <w:sz w:val="18"/>
                <w:szCs w:val="18"/>
              </w:rPr>
              <w:t>gyrA</w:t>
            </w:r>
            <w:proofErr w:type="spellEnd"/>
            <w:r w:rsidRPr="00BF2981">
              <w:rPr>
                <w:sz w:val="18"/>
                <w:szCs w:val="18"/>
              </w:rPr>
              <w:t xml:space="preserve"> (Gly81Asp), </w:t>
            </w:r>
            <w:proofErr w:type="spellStart"/>
            <w:r w:rsidRPr="00BF2981">
              <w:rPr>
                <w:i/>
                <w:sz w:val="18"/>
                <w:szCs w:val="18"/>
              </w:rPr>
              <w:t>parC</w:t>
            </w:r>
            <w:proofErr w:type="spellEnd"/>
            <w:r w:rsidRPr="00BF2981">
              <w:rPr>
                <w:sz w:val="18"/>
                <w:szCs w:val="18"/>
              </w:rPr>
              <w:t xml:space="preserve"> (Ser80Arg)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SAMN08339814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Ituri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SAMN02911999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Litchfield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2012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qnrS1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1, 3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SAMN02911952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Muenchen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2011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SAMN08339820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Muenchen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SAMN08339876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Muenster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2010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1, 2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SAMN08340051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Muenster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2011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SAMN02368948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Newport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2010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qnrB2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SAMN08340022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Newport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SAMN02911986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Reading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2012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SAMN02911932</w:t>
            </w:r>
          </w:p>
        </w:tc>
        <w:tc>
          <w:tcPr>
            <w:tcW w:w="135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Saintpaul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2012</w:t>
            </w:r>
          </w:p>
        </w:tc>
        <w:tc>
          <w:tcPr>
            <w:tcW w:w="27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qnrS1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SAMN05941621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Saintpaul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qnrS1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SAMN02911939</w:t>
            </w:r>
          </w:p>
        </w:tc>
        <w:tc>
          <w:tcPr>
            <w:tcW w:w="135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Stanley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2012</w:t>
            </w:r>
          </w:p>
        </w:tc>
        <w:tc>
          <w:tcPr>
            <w:tcW w:w="2700" w:type="dxa"/>
            <w:noWrap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qnrA1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1, 2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SAMN05907757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Stanley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qnrS1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1, 2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SAMN08339836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Telelkebir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1, 3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SAMN05596278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BF2981">
              <w:rPr>
                <w:sz w:val="18"/>
                <w:szCs w:val="18"/>
              </w:rPr>
              <w:t>Typhimurium</w:t>
            </w:r>
            <w:proofErr w:type="spellEnd"/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SAMN08340029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Urbana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1, 3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SAMN05596649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I 4,[5],12:i:-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qnrS1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1, 2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SAMN05907740</w:t>
            </w:r>
          </w:p>
        </w:tc>
        <w:tc>
          <w:tcPr>
            <w:tcW w:w="135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I 4,[5],12:i:-</w:t>
            </w:r>
          </w:p>
        </w:tc>
        <w:tc>
          <w:tcPr>
            <w:tcW w:w="1080" w:type="dxa"/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none</w:t>
            </w:r>
          </w:p>
        </w:tc>
        <w:tc>
          <w:tcPr>
            <w:tcW w:w="990" w:type="dxa"/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</w:t>
            </w:r>
          </w:p>
        </w:tc>
      </w:tr>
      <w:tr w:rsidR="008A3314" w:rsidRPr="00064401" w:rsidTr="006D7412">
        <w:trPr>
          <w:trHeight w:hRule="exact" w:val="360"/>
        </w:trPr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SAMN08342519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IV 44:z4,z23:-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F2981" w:rsidRPr="00BF2981" w:rsidRDefault="00BF2981" w:rsidP="00BF30D2">
            <w:pPr>
              <w:spacing w:after="160" w:line="259" w:lineRule="auto"/>
              <w:rPr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F2981" w:rsidRPr="00BF2981" w:rsidRDefault="00BF2981" w:rsidP="00BF30D2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i/>
                <w:sz w:val="18"/>
                <w:szCs w:val="18"/>
              </w:rPr>
              <w:t>qnrB19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BF2981" w:rsidRPr="00BF2981" w:rsidRDefault="00BF2981" w:rsidP="0040625E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F2981">
              <w:rPr>
                <w:sz w:val="18"/>
                <w:szCs w:val="18"/>
              </w:rPr>
              <w:t>1, 3</w:t>
            </w:r>
          </w:p>
        </w:tc>
      </w:tr>
      <w:tr w:rsidR="00BF2981" w:rsidRPr="00064401" w:rsidTr="0022157B">
        <w:trPr>
          <w:trHeight w:val="467"/>
        </w:trPr>
        <w:tc>
          <w:tcPr>
            <w:tcW w:w="7920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BF2981" w:rsidRPr="00BF2981" w:rsidRDefault="008C4F32" w:rsidP="0077446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†</w:t>
            </w:r>
            <w:proofErr w:type="spellStart"/>
            <w:r w:rsidR="00BF2981" w:rsidRPr="00BF2981">
              <w:rPr>
                <w:sz w:val="18"/>
                <w:szCs w:val="18"/>
              </w:rPr>
              <w:t>BioSample</w:t>
            </w:r>
            <w:proofErr w:type="spellEnd"/>
            <w:r w:rsidR="00BF2981" w:rsidRPr="00BF2981">
              <w:rPr>
                <w:sz w:val="18"/>
                <w:szCs w:val="18"/>
              </w:rPr>
              <w:t xml:space="preserve"> accession numbers in the National Center for Biotechnology Information (NCBI) Sequence Read Archive, </w:t>
            </w:r>
            <w:hyperlink r:id="rId7" w:history="1">
              <w:r w:rsidR="00BF2981" w:rsidRPr="008C4F32">
                <w:rPr>
                  <w:rStyle w:val="Hyperlink"/>
                  <w:color w:val="auto"/>
                  <w:sz w:val="18"/>
                  <w:szCs w:val="18"/>
                  <w:u w:val="none"/>
                </w:rPr>
                <w:t>https://www.ncbi.nlm.nih.gov/sra/</w:t>
              </w:r>
            </w:hyperlink>
            <w:r w:rsidR="00BF2981" w:rsidRPr="008C4F32">
              <w:rPr>
                <w:sz w:val="18"/>
                <w:szCs w:val="18"/>
              </w:rPr>
              <w:t>.</w:t>
            </w:r>
            <w:r w:rsidR="00BF2981" w:rsidRPr="00BF2981">
              <w:rPr>
                <w:sz w:val="18"/>
                <w:szCs w:val="18"/>
              </w:rPr>
              <w:t xml:space="preserve"> </w:t>
            </w:r>
          </w:p>
        </w:tc>
      </w:tr>
    </w:tbl>
    <w:p w:rsidR="00064401" w:rsidRPr="00064401" w:rsidRDefault="00064401" w:rsidP="00064401">
      <w:pPr>
        <w:spacing w:line="240" w:lineRule="auto"/>
      </w:pPr>
    </w:p>
    <w:p w:rsidR="00D1573A" w:rsidRDefault="00D1573A">
      <w:r>
        <w:br w:type="page"/>
      </w:r>
    </w:p>
    <w:p w:rsidR="00D1573A" w:rsidRPr="00B12D26" w:rsidRDefault="00F416C9" w:rsidP="00D1573A">
      <w:pPr>
        <w:spacing w:after="0" w:line="240" w:lineRule="auto"/>
        <w:rPr>
          <w:b/>
        </w:rPr>
      </w:pPr>
      <w:r>
        <w:rPr>
          <w:b/>
        </w:rPr>
        <w:lastRenderedPageBreak/>
        <w:t>References</w:t>
      </w:r>
    </w:p>
    <w:p w:rsidR="00D1573A" w:rsidRPr="00B903E3" w:rsidRDefault="00D1573A" w:rsidP="00D1573A">
      <w:pPr>
        <w:spacing w:after="0" w:line="240" w:lineRule="auto"/>
      </w:pPr>
    </w:p>
    <w:p w:rsidR="00D1573A" w:rsidRPr="00E0540B" w:rsidRDefault="00D1573A" w:rsidP="000807E5">
      <w:pPr>
        <w:spacing w:after="200" w:line="264" w:lineRule="auto"/>
      </w:pPr>
      <w:proofErr w:type="spellStart"/>
      <w:r w:rsidRPr="00E0540B">
        <w:t>Cavaco</w:t>
      </w:r>
      <w:proofErr w:type="spellEnd"/>
      <w:r w:rsidR="00735BAA">
        <w:t>,</w:t>
      </w:r>
      <w:r w:rsidRPr="00E0540B">
        <w:t xml:space="preserve"> L</w:t>
      </w:r>
      <w:r w:rsidR="00735BAA">
        <w:t>.</w:t>
      </w:r>
      <w:r w:rsidRPr="00E0540B">
        <w:t>M</w:t>
      </w:r>
      <w:r w:rsidR="00735BAA">
        <w:t>.</w:t>
      </w:r>
      <w:r w:rsidRPr="00E0540B">
        <w:t xml:space="preserve">, </w:t>
      </w:r>
      <w:proofErr w:type="spellStart"/>
      <w:r w:rsidRPr="00E0540B">
        <w:t>Hasman</w:t>
      </w:r>
      <w:proofErr w:type="spellEnd"/>
      <w:r w:rsidR="00735BAA">
        <w:t>,</w:t>
      </w:r>
      <w:r w:rsidRPr="00E0540B">
        <w:t xml:space="preserve"> H</w:t>
      </w:r>
      <w:r w:rsidR="00735BAA">
        <w:t>.</w:t>
      </w:r>
      <w:r w:rsidRPr="00E0540B">
        <w:t>, Xia</w:t>
      </w:r>
      <w:r w:rsidR="00735BAA">
        <w:t>,</w:t>
      </w:r>
      <w:r w:rsidRPr="00E0540B">
        <w:t xml:space="preserve"> S</w:t>
      </w:r>
      <w:r w:rsidR="00735BAA">
        <w:t>.</w:t>
      </w:r>
      <w:r w:rsidRPr="00E0540B">
        <w:t xml:space="preserve">, </w:t>
      </w:r>
      <w:r w:rsidR="00735BAA">
        <w:t xml:space="preserve">&amp; </w:t>
      </w:r>
      <w:proofErr w:type="spellStart"/>
      <w:r w:rsidRPr="00E0540B">
        <w:t>Aarestrup</w:t>
      </w:r>
      <w:proofErr w:type="spellEnd"/>
      <w:r w:rsidR="00735BAA">
        <w:t>,</w:t>
      </w:r>
      <w:r w:rsidRPr="00E0540B">
        <w:t xml:space="preserve"> F</w:t>
      </w:r>
      <w:r w:rsidR="00735BAA">
        <w:t>.</w:t>
      </w:r>
      <w:r w:rsidRPr="00E0540B">
        <w:t xml:space="preserve">M. </w:t>
      </w:r>
      <w:r w:rsidR="002E3833">
        <w:t xml:space="preserve">(2009). </w:t>
      </w:r>
      <w:proofErr w:type="spellStart"/>
      <w:proofErr w:type="gramStart"/>
      <w:r w:rsidRPr="00E0540B">
        <w:rPr>
          <w:i/>
        </w:rPr>
        <w:t>qnrD</w:t>
      </w:r>
      <w:proofErr w:type="spellEnd"/>
      <w:proofErr w:type="gramEnd"/>
      <w:r w:rsidRPr="00E0540B">
        <w:t xml:space="preserve">, a novel gene conferring transferable quinolone resistance in </w:t>
      </w:r>
      <w:r w:rsidRPr="00E0540B">
        <w:rPr>
          <w:i/>
        </w:rPr>
        <w:t>Salmonella</w:t>
      </w:r>
      <w:r w:rsidRPr="00E0540B">
        <w:t xml:space="preserve"> </w:t>
      </w:r>
      <w:proofErr w:type="spellStart"/>
      <w:r w:rsidRPr="00E0540B">
        <w:rPr>
          <w:i/>
        </w:rPr>
        <w:t>enterica</w:t>
      </w:r>
      <w:proofErr w:type="spellEnd"/>
      <w:r w:rsidRPr="00E0540B">
        <w:t xml:space="preserve"> </w:t>
      </w:r>
      <w:proofErr w:type="spellStart"/>
      <w:r w:rsidRPr="00E0540B">
        <w:t>serovar</w:t>
      </w:r>
      <w:proofErr w:type="spellEnd"/>
      <w:r w:rsidRPr="00E0540B">
        <w:t xml:space="preserve"> Kentucky and </w:t>
      </w:r>
      <w:proofErr w:type="spellStart"/>
      <w:r w:rsidRPr="00E0540B">
        <w:t>Bovismorbificans</w:t>
      </w:r>
      <w:proofErr w:type="spellEnd"/>
      <w:r w:rsidRPr="00E0540B">
        <w:t xml:space="preserve"> strains of human origi</w:t>
      </w:r>
      <w:r w:rsidR="00735BAA">
        <w:t xml:space="preserve">n. </w:t>
      </w:r>
      <w:r w:rsidR="00735BAA" w:rsidRPr="00E5035C">
        <w:rPr>
          <w:i/>
        </w:rPr>
        <w:t>Antimicrob</w:t>
      </w:r>
      <w:r w:rsidR="00E5035C" w:rsidRPr="00E5035C">
        <w:rPr>
          <w:i/>
        </w:rPr>
        <w:t>ial</w:t>
      </w:r>
      <w:r w:rsidR="00735BAA" w:rsidRPr="00E5035C">
        <w:rPr>
          <w:i/>
        </w:rPr>
        <w:t xml:space="preserve"> Agents </w:t>
      </w:r>
      <w:r w:rsidR="00E5035C" w:rsidRPr="00E5035C">
        <w:rPr>
          <w:i/>
        </w:rPr>
        <w:t xml:space="preserve">and </w:t>
      </w:r>
      <w:r w:rsidR="00735BAA" w:rsidRPr="00E5035C">
        <w:rPr>
          <w:i/>
        </w:rPr>
        <w:t>Chemother</w:t>
      </w:r>
      <w:r w:rsidR="00E5035C" w:rsidRPr="00E5035C">
        <w:rPr>
          <w:i/>
        </w:rPr>
        <w:t>apy</w:t>
      </w:r>
      <w:r w:rsidR="00735BAA">
        <w:t xml:space="preserve">, </w:t>
      </w:r>
      <w:r w:rsidRPr="00E0540B">
        <w:t>53</w:t>
      </w:r>
      <w:r w:rsidR="00735BAA">
        <w:t xml:space="preserve">, </w:t>
      </w:r>
      <w:r w:rsidRPr="00E0540B">
        <w:t>603-</w:t>
      </w:r>
      <w:r w:rsidR="00E5035C">
        <w:t>60</w:t>
      </w:r>
      <w:r w:rsidRPr="00E0540B">
        <w:t xml:space="preserve">8. </w:t>
      </w:r>
      <w:hyperlink r:id="rId8" w:history="1">
        <w:r w:rsidRPr="00E0540B">
          <w:rPr>
            <w:rStyle w:val="Hyperlink"/>
            <w:color w:val="auto"/>
            <w:u w:val="none"/>
          </w:rPr>
          <w:t>https://doi.org/10.1128/AAC.00997-08</w:t>
        </w:r>
      </w:hyperlink>
      <w:r w:rsidRPr="00E0540B">
        <w:t xml:space="preserve">. </w:t>
      </w:r>
    </w:p>
    <w:p w:rsidR="00D1573A" w:rsidRPr="00E0540B" w:rsidRDefault="00D1573A" w:rsidP="000807E5">
      <w:pPr>
        <w:spacing w:after="200" w:line="264" w:lineRule="auto"/>
      </w:pPr>
      <w:r w:rsidRPr="00E0540B">
        <w:t>Eaves</w:t>
      </w:r>
      <w:r w:rsidR="00E5035C">
        <w:t>,</w:t>
      </w:r>
      <w:r w:rsidRPr="00E0540B">
        <w:t xml:space="preserve"> D</w:t>
      </w:r>
      <w:r w:rsidR="00E5035C">
        <w:t>.</w:t>
      </w:r>
      <w:r w:rsidRPr="00E0540B">
        <w:t>J</w:t>
      </w:r>
      <w:r w:rsidR="00E5035C">
        <w:t>.</w:t>
      </w:r>
      <w:r w:rsidRPr="00E0540B">
        <w:t xml:space="preserve">, </w:t>
      </w:r>
      <w:proofErr w:type="spellStart"/>
      <w:r w:rsidRPr="00E0540B">
        <w:t>Liebana</w:t>
      </w:r>
      <w:proofErr w:type="spellEnd"/>
      <w:r w:rsidR="00E5035C">
        <w:t>,</w:t>
      </w:r>
      <w:r w:rsidRPr="00E0540B">
        <w:t xml:space="preserve"> E</w:t>
      </w:r>
      <w:r w:rsidR="00E5035C">
        <w:t>.</w:t>
      </w:r>
      <w:r w:rsidRPr="00E0540B">
        <w:t>, Woodward</w:t>
      </w:r>
      <w:r w:rsidR="00E5035C">
        <w:t>,</w:t>
      </w:r>
      <w:r w:rsidRPr="00E0540B">
        <w:t xml:space="preserve"> M</w:t>
      </w:r>
      <w:r w:rsidR="00E5035C">
        <w:t>.</w:t>
      </w:r>
      <w:r w:rsidRPr="00E0540B">
        <w:t>J</w:t>
      </w:r>
      <w:r w:rsidR="00E5035C">
        <w:t>.</w:t>
      </w:r>
      <w:r w:rsidRPr="00E0540B">
        <w:t xml:space="preserve">, </w:t>
      </w:r>
      <w:r w:rsidR="00E5035C">
        <w:t xml:space="preserve">&amp; </w:t>
      </w:r>
      <w:proofErr w:type="spellStart"/>
      <w:r w:rsidRPr="00E0540B">
        <w:t>Piddock</w:t>
      </w:r>
      <w:proofErr w:type="spellEnd"/>
      <w:r w:rsidR="00E5035C">
        <w:t>,</w:t>
      </w:r>
      <w:r w:rsidRPr="00E0540B">
        <w:t xml:space="preserve"> L</w:t>
      </w:r>
      <w:r w:rsidR="00E5035C">
        <w:t>.</w:t>
      </w:r>
      <w:r w:rsidRPr="00E0540B">
        <w:t xml:space="preserve">J. </w:t>
      </w:r>
      <w:r w:rsidR="00E5035C">
        <w:t xml:space="preserve">(2002). </w:t>
      </w:r>
      <w:r w:rsidRPr="00E0540B">
        <w:t xml:space="preserve">Detection of </w:t>
      </w:r>
      <w:proofErr w:type="spellStart"/>
      <w:r w:rsidRPr="00E0540B">
        <w:rPr>
          <w:i/>
        </w:rPr>
        <w:t>gyrA</w:t>
      </w:r>
      <w:proofErr w:type="spellEnd"/>
      <w:r w:rsidRPr="00E0540B">
        <w:t xml:space="preserve"> mutations in quinolone-resistant </w:t>
      </w:r>
      <w:r w:rsidRPr="00E0540B">
        <w:rPr>
          <w:i/>
        </w:rPr>
        <w:t>Salmonella</w:t>
      </w:r>
      <w:r w:rsidRPr="00E0540B">
        <w:t xml:space="preserve"> </w:t>
      </w:r>
      <w:proofErr w:type="spellStart"/>
      <w:r w:rsidRPr="00E0540B">
        <w:rPr>
          <w:i/>
        </w:rPr>
        <w:t>enterica</w:t>
      </w:r>
      <w:proofErr w:type="spellEnd"/>
      <w:r w:rsidRPr="00E0540B">
        <w:t xml:space="preserve"> by denaturing high-performance liquid chromatography. </w:t>
      </w:r>
      <w:r w:rsidRPr="00E5035C">
        <w:rPr>
          <w:i/>
        </w:rPr>
        <w:t>J</w:t>
      </w:r>
      <w:r w:rsidR="00E5035C" w:rsidRPr="00E5035C">
        <w:rPr>
          <w:i/>
        </w:rPr>
        <w:t>ournal of</w:t>
      </w:r>
      <w:r w:rsidRPr="00E5035C">
        <w:rPr>
          <w:i/>
        </w:rPr>
        <w:t xml:space="preserve"> Clin</w:t>
      </w:r>
      <w:r w:rsidR="00E5035C" w:rsidRPr="00E5035C">
        <w:rPr>
          <w:i/>
        </w:rPr>
        <w:t>ical</w:t>
      </w:r>
      <w:r w:rsidRPr="00E5035C">
        <w:rPr>
          <w:i/>
        </w:rPr>
        <w:t xml:space="preserve"> Microbiol</w:t>
      </w:r>
      <w:r w:rsidR="00E5035C" w:rsidRPr="00E5035C">
        <w:rPr>
          <w:i/>
        </w:rPr>
        <w:t>ogy</w:t>
      </w:r>
      <w:r w:rsidR="00E5035C">
        <w:t>,</w:t>
      </w:r>
      <w:r w:rsidRPr="00E0540B">
        <w:t xml:space="preserve"> 40</w:t>
      </w:r>
      <w:r w:rsidR="00E5035C">
        <w:t xml:space="preserve">, </w:t>
      </w:r>
      <w:r w:rsidRPr="00E0540B">
        <w:t>4121-</w:t>
      </w:r>
      <w:r w:rsidR="00E5035C">
        <w:t>412</w:t>
      </w:r>
      <w:r w:rsidRPr="00E0540B">
        <w:t xml:space="preserve">5. </w:t>
      </w:r>
      <w:hyperlink r:id="rId9" w:history="1">
        <w:r w:rsidRPr="00E0540B">
          <w:rPr>
            <w:rStyle w:val="Hyperlink"/>
            <w:color w:val="auto"/>
            <w:u w:val="none"/>
          </w:rPr>
          <w:t>https://doi.org/</w:t>
        </w:r>
        <w:r w:rsidRPr="00E0540B">
          <w:rPr>
            <w:rStyle w:val="Hyperlink"/>
            <w:bCs/>
            <w:color w:val="auto"/>
            <w:u w:val="none"/>
            <w:lang w:val="en"/>
          </w:rPr>
          <w:t>doi:10.1128/JCM.40.11.4121-4125.2002</w:t>
        </w:r>
      </w:hyperlink>
      <w:r w:rsidRPr="00E0540B">
        <w:rPr>
          <w:bCs/>
          <w:lang w:val="en"/>
        </w:rPr>
        <w:t xml:space="preserve">.  </w:t>
      </w:r>
    </w:p>
    <w:p w:rsidR="00D1573A" w:rsidRPr="00E0540B" w:rsidRDefault="00D1573A" w:rsidP="000807E5">
      <w:pPr>
        <w:spacing w:after="200" w:line="264" w:lineRule="auto"/>
      </w:pPr>
      <w:r w:rsidRPr="00E0540B">
        <w:t>Eaves</w:t>
      </w:r>
      <w:r w:rsidR="00E5035C">
        <w:t>,</w:t>
      </w:r>
      <w:r w:rsidRPr="00E0540B">
        <w:t xml:space="preserve"> D</w:t>
      </w:r>
      <w:r w:rsidR="00E5035C">
        <w:t>.</w:t>
      </w:r>
      <w:r w:rsidRPr="00E0540B">
        <w:t>J</w:t>
      </w:r>
      <w:r w:rsidR="00E5035C">
        <w:t>.</w:t>
      </w:r>
      <w:r w:rsidRPr="00E0540B">
        <w:t>, Randall</w:t>
      </w:r>
      <w:r w:rsidR="00E5035C">
        <w:t>,</w:t>
      </w:r>
      <w:r w:rsidRPr="00E0540B">
        <w:t xml:space="preserve"> L</w:t>
      </w:r>
      <w:r w:rsidR="00E5035C">
        <w:t>.</w:t>
      </w:r>
      <w:r w:rsidRPr="00E0540B">
        <w:t>, Gray</w:t>
      </w:r>
      <w:r w:rsidR="00E5035C">
        <w:t>,</w:t>
      </w:r>
      <w:r w:rsidRPr="00E0540B">
        <w:t xml:space="preserve"> D</w:t>
      </w:r>
      <w:r w:rsidR="00E5035C">
        <w:t>.</w:t>
      </w:r>
      <w:r w:rsidRPr="00E0540B">
        <w:t>T</w:t>
      </w:r>
      <w:r w:rsidR="00E5035C">
        <w:t>.</w:t>
      </w:r>
      <w:r w:rsidRPr="00E0540B">
        <w:t>, Buckley</w:t>
      </w:r>
      <w:r w:rsidR="00E5035C">
        <w:t>,</w:t>
      </w:r>
      <w:r w:rsidRPr="00E0540B">
        <w:t xml:space="preserve"> A</w:t>
      </w:r>
      <w:r w:rsidR="00E5035C">
        <w:t>.</w:t>
      </w:r>
      <w:r w:rsidRPr="00E0540B">
        <w:t>, Woodward</w:t>
      </w:r>
      <w:r w:rsidR="00E5035C">
        <w:t>,</w:t>
      </w:r>
      <w:r w:rsidRPr="00E0540B">
        <w:t xml:space="preserve"> M</w:t>
      </w:r>
      <w:r w:rsidR="00E5035C">
        <w:t>.</w:t>
      </w:r>
      <w:r w:rsidRPr="00E0540B">
        <w:t>J</w:t>
      </w:r>
      <w:r w:rsidR="00E5035C">
        <w:t>.</w:t>
      </w:r>
      <w:r w:rsidRPr="00E0540B">
        <w:t>, White</w:t>
      </w:r>
      <w:r w:rsidR="002E3833">
        <w:t>,</w:t>
      </w:r>
      <w:r w:rsidRPr="00E0540B">
        <w:t xml:space="preserve"> A</w:t>
      </w:r>
      <w:r w:rsidR="002E3833">
        <w:t>.</w:t>
      </w:r>
      <w:r w:rsidRPr="00E0540B">
        <w:t>P</w:t>
      </w:r>
      <w:r w:rsidR="002E3833">
        <w:t>.</w:t>
      </w:r>
      <w:r w:rsidRPr="00E0540B">
        <w:t xml:space="preserve">, </w:t>
      </w:r>
      <w:r w:rsidR="00E5035C">
        <w:t xml:space="preserve">&amp; </w:t>
      </w:r>
      <w:proofErr w:type="spellStart"/>
      <w:r w:rsidR="00E5035C">
        <w:t>Piddock</w:t>
      </w:r>
      <w:proofErr w:type="spellEnd"/>
      <w:r w:rsidR="00E5035C">
        <w:t>, L.J.V</w:t>
      </w:r>
      <w:r w:rsidRPr="00E0540B">
        <w:t xml:space="preserve">. </w:t>
      </w:r>
      <w:r w:rsidR="00E5035C">
        <w:t>(</w:t>
      </w:r>
      <w:r w:rsidR="00E5035C" w:rsidRPr="00E0540B">
        <w:t>2004</w:t>
      </w:r>
      <w:r w:rsidR="00E5035C">
        <w:t xml:space="preserve">). </w:t>
      </w:r>
      <w:r w:rsidRPr="00E0540B">
        <w:t xml:space="preserve">Prevalence of mutations within the quinolone resistance-determining region of </w:t>
      </w:r>
      <w:proofErr w:type="spellStart"/>
      <w:r w:rsidRPr="00E0540B">
        <w:rPr>
          <w:i/>
        </w:rPr>
        <w:t>gyrA</w:t>
      </w:r>
      <w:proofErr w:type="spellEnd"/>
      <w:r w:rsidRPr="00E0540B">
        <w:t xml:space="preserve">, </w:t>
      </w:r>
      <w:proofErr w:type="spellStart"/>
      <w:r w:rsidRPr="00E0540B">
        <w:rPr>
          <w:i/>
        </w:rPr>
        <w:t>gyrB</w:t>
      </w:r>
      <w:proofErr w:type="spellEnd"/>
      <w:r w:rsidRPr="00E0540B">
        <w:t xml:space="preserve">, </w:t>
      </w:r>
      <w:proofErr w:type="spellStart"/>
      <w:r w:rsidRPr="00E0540B">
        <w:rPr>
          <w:i/>
        </w:rPr>
        <w:t>parC</w:t>
      </w:r>
      <w:proofErr w:type="spellEnd"/>
      <w:r w:rsidRPr="00E0540B">
        <w:t xml:space="preserve">, and </w:t>
      </w:r>
      <w:proofErr w:type="spellStart"/>
      <w:r w:rsidRPr="00E0540B">
        <w:rPr>
          <w:i/>
        </w:rPr>
        <w:t>parE</w:t>
      </w:r>
      <w:proofErr w:type="spellEnd"/>
      <w:r w:rsidRPr="00E0540B">
        <w:t xml:space="preserve"> and association with antibiotic resistance in quinolone-resistant </w:t>
      </w:r>
      <w:r w:rsidRPr="00E0540B">
        <w:rPr>
          <w:i/>
        </w:rPr>
        <w:t>Salmonella</w:t>
      </w:r>
      <w:r w:rsidRPr="00E0540B">
        <w:t xml:space="preserve"> </w:t>
      </w:r>
      <w:proofErr w:type="spellStart"/>
      <w:r w:rsidRPr="00E0540B">
        <w:rPr>
          <w:i/>
        </w:rPr>
        <w:t>enterica</w:t>
      </w:r>
      <w:proofErr w:type="spellEnd"/>
      <w:r w:rsidRPr="00E0540B">
        <w:t xml:space="preserve">. </w:t>
      </w:r>
      <w:r w:rsidRPr="00E5035C">
        <w:rPr>
          <w:i/>
        </w:rPr>
        <w:t>Antimicrob</w:t>
      </w:r>
      <w:r w:rsidR="00E5035C" w:rsidRPr="00E5035C">
        <w:rPr>
          <w:i/>
        </w:rPr>
        <w:t>ial</w:t>
      </w:r>
      <w:r w:rsidRPr="00E5035C">
        <w:rPr>
          <w:i/>
        </w:rPr>
        <w:t xml:space="preserve"> Agents</w:t>
      </w:r>
      <w:r w:rsidR="00E5035C" w:rsidRPr="00E5035C">
        <w:rPr>
          <w:i/>
        </w:rPr>
        <w:t xml:space="preserve"> and</w:t>
      </w:r>
      <w:r w:rsidRPr="00E5035C">
        <w:rPr>
          <w:i/>
        </w:rPr>
        <w:t xml:space="preserve"> Chemother</w:t>
      </w:r>
      <w:r w:rsidR="00E5035C" w:rsidRPr="00E5035C">
        <w:rPr>
          <w:i/>
        </w:rPr>
        <w:t>apy</w:t>
      </w:r>
      <w:r w:rsidR="00E5035C">
        <w:t xml:space="preserve">, </w:t>
      </w:r>
      <w:r w:rsidRPr="00E0540B">
        <w:t>48</w:t>
      </w:r>
      <w:r w:rsidR="00E5035C">
        <w:t xml:space="preserve">, </w:t>
      </w:r>
      <w:r w:rsidRPr="00E0540B">
        <w:t>4012-</w:t>
      </w:r>
      <w:r w:rsidR="00E5035C">
        <w:t>401</w:t>
      </w:r>
      <w:r w:rsidRPr="00E0540B">
        <w:t xml:space="preserve">5. </w:t>
      </w:r>
      <w:hyperlink r:id="rId10" w:history="1">
        <w:r w:rsidRPr="00E0540B">
          <w:rPr>
            <w:rStyle w:val="Hyperlink"/>
            <w:color w:val="auto"/>
            <w:u w:val="none"/>
          </w:rPr>
          <w:t>https://doi.org/10.1128/AAC.48.10.4012-4015.2004</w:t>
        </w:r>
      </w:hyperlink>
      <w:r w:rsidRPr="00E0540B">
        <w:t xml:space="preserve">. </w:t>
      </w:r>
    </w:p>
    <w:p w:rsidR="00D1573A" w:rsidRPr="00E0540B" w:rsidRDefault="00D1573A" w:rsidP="000807E5">
      <w:pPr>
        <w:spacing w:after="200" w:line="264" w:lineRule="auto"/>
      </w:pPr>
      <w:r w:rsidRPr="00E0540B">
        <w:t>Gay</w:t>
      </w:r>
      <w:r w:rsidR="00E5035C">
        <w:t>,</w:t>
      </w:r>
      <w:r w:rsidRPr="00E0540B">
        <w:t xml:space="preserve"> K</w:t>
      </w:r>
      <w:r w:rsidR="00E5035C">
        <w:t>.</w:t>
      </w:r>
      <w:r w:rsidRPr="00E0540B">
        <w:t xml:space="preserve">, </w:t>
      </w:r>
      <w:proofErr w:type="spellStart"/>
      <w:r w:rsidRPr="00E0540B">
        <w:t>Robicsek</w:t>
      </w:r>
      <w:proofErr w:type="spellEnd"/>
      <w:r w:rsidR="00E5035C">
        <w:t>,</w:t>
      </w:r>
      <w:r w:rsidRPr="00E0540B">
        <w:t xml:space="preserve"> A</w:t>
      </w:r>
      <w:r w:rsidR="00E5035C">
        <w:t>.</w:t>
      </w:r>
      <w:r w:rsidRPr="00E0540B">
        <w:t xml:space="preserve">, </w:t>
      </w:r>
      <w:proofErr w:type="spellStart"/>
      <w:r w:rsidRPr="00E0540B">
        <w:t>Strahilevitz</w:t>
      </w:r>
      <w:proofErr w:type="spellEnd"/>
      <w:r w:rsidR="00E5035C">
        <w:t>,</w:t>
      </w:r>
      <w:r w:rsidRPr="00E0540B">
        <w:t xml:space="preserve"> J</w:t>
      </w:r>
      <w:r w:rsidR="00E5035C">
        <w:t>.</w:t>
      </w:r>
      <w:r w:rsidRPr="00E0540B">
        <w:t>, Park</w:t>
      </w:r>
      <w:r w:rsidR="00E5035C">
        <w:t>,</w:t>
      </w:r>
      <w:r w:rsidRPr="00E0540B">
        <w:t xml:space="preserve"> C</w:t>
      </w:r>
      <w:r w:rsidR="00E5035C">
        <w:t>.</w:t>
      </w:r>
      <w:r w:rsidRPr="00E0540B">
        <w:t>H</w:t>
      </w:r>
      <w:r w:rsidR="00E5035C">
        <w:t>.</w:t>
      </w:r>
      <w:r w:rsidRPr="00E0540B">
        <w:t>, Jacoby</w:t>
      </w:r>
      <w:r w:rsidR="00E5035C">
        <w:t>,</w:t>
      </w:r>
      <w:r w:rsidRPr="00E0540B">
        <w:t xml:space="preserve"> G</w:t>
      </w:r>
      <w:r w:rsidR="00E5035C">
        <w:t>.</w:t>
      </w:r>
      <w:r w:rsidRPr="00E0540B">
        <w:t>, Barrett</w:t>
      </w:r>
      <w:r w:rsidR="00E5035C">
        <w:t>,</w:t>
      </w:r>
      <w:r w:rsidRPr="00E0540B">
        <w:t xml:space="preserve"> T</w:t>
      </w:r>
      <w:r w:rsidR="00E5035C">
        <w:t>.</w:t>
      </w:r>
      <w:r w:rsidRPr="00E0540B">
        <w:t>,</w:t>
      </w:r>
      <w:bookmarkStart w:id="0" w:name="_GoBack"/>
      <w:bookmarkEnd w:id="0"/>
      <w:r w:rsidR="00E5035C">
        <w:t>…Hooper, D.C</w:t>
      </w:r>
      <w:r w:rsidRPr="00E0540B">
        <w:t xml:space="preserve">. </w:t>
      </w:r>
      <w:r w:rsidR="00E5035C">
        <w:t>(</w:t>
      </w:r>
      <w:r w:rsidR="00E5035C" w:rsidRPr="00E0540B">
        <w:t>2006</w:t>
      </w:r>
      <w:r w:rsidR="00E5035C">
        <w:t xml:space="preserve">). </w:t>
      </w:r>
      <w:r w:rsidRPr="00E0540B">
        <w:t>Plasmid-</w:t>
      </w:r>
      <w:r w:rsidR="002E3833">
        <w:t>m</w:t>
      </w:r>
      <w:r w:rsidRPr="00E0540B">
        <w:t xml:space="preserve">ediated </w:t>
      </w:r>
      <w:r w:rsidR="002E3833">
        <w:t>q</w:t>
      </w:r>
      <w:r w:rsidRPr="00E0540B">
        <w:t xml:space="preserve">uinolone </w:t>
      </w:r>
      <w:r w:rsidR="002E3833">
        <w:t>r</w:t>
      </w:r>
      <w:r w:rsidRPr="00E0540B">
        <w:t xml:space="preserve">esistance in </w:t>
      </w:r>
      <w:r w:rsidR="002E3833">
        <w:t>n</w:t>
      </w:r>
      <w:r w:rsidRPr="00E0540B">
        <w:t>on-</w:t>
      </w:r>
      <w:proofErr w:type="spellStart"/>
      <w:r w:rsidRPr="00E0540B">
        <w:t>Typhi</w:t>
      </w:r>
      <w:proofErr w:type="spellEnd"/>
      <w:r w:rsidRPr="00E0540B">
        <w:t xml:space="preserve"> </w:t>
      </w:r>
      <w:r w:rsidR="002E3833">
        <w:t>s</w:t>
      </w:r>
      <w:r w:rsidRPr="00E0540B">
        <w:t xml:space="preserve">erotypes of </w:t>
      </w:r>
      <w:r w:rsidRPr="00E0540B">
        <w:rPr>
          <w:i/>
        </w:rPr>
        <w:t xml:space="preserve">Salmonella </w:t>
      </w:r>
      <w:proofErr w:type="spellStart"/>
      <w:r w:rsidRPr="00E0540B">
        <w:rPr>
          <w:i/>
        </w:rPr>
        <w:t>enterica</w:t>
      </w:r>
      <w:proofErr w:type="spellEnd"/>
      <w:r w:rsidRPr="00E0540B">
        <w:t xml:space="preserve">. </w:t>
      </w:r>
      <w:r w:rsidRPr="00E5035C">
        <w:rPr>
          <w:i/>
        </w:rPr>
        <w:t>Clin</w:t>
      </w:r>
      <w:r w:rsidR="00E5035C" w:rsidRPr="00E5035C">
        <w:rPr>
          <w:i/>
        </w:rPr>
        <w:t>ical</w:t>
      </w:r>
      <w:r w:rsidRPr="00E5035C">
        <w:rPr>
          <w:i/>
        </w:rPr>
        <w:t xml:space="preserve"> Infect</w:t>
      </w:r>
      <w:r w:rsidR="00E5035C" w:rsidRPr="00E5035C">
        <w:rPr>
          <w:i/>
        </w:rPr>
        <w:t>ious</w:t>
      </w:r>
      <w:r w:rsidRPr="00E5035C">
        <w:rPr>
          <w:i/>
        </w:rPr>
        <w:t xml:space="preserve"> Dis</w:t>
      </w:r>
      <w:r w:rsidR="00E5035C" w:rsidRPr="00E5035C">
        <w:rPr>
          <w:i/>
        </w:rPr>
        <w:t>eases</w:t>
      </w:r>
      <w:r w:rsidR="00E5035C">
        <w:t xml:space="preserve">, </w:t>
      </w:r>
      <w:r w:rsidRPr="00E0540B">
        <w:t>46</w:t>
      </w:r>
      <w:r w:rsidR="00E5035C">
        <w:t xml:space="preserve">, </w:t>
      </w:r>
      <w:r w:rsidRPr="00E0540B">
        <w:t xml:space="preserve">297-304. </w:t>
      </w:r>
      <w:hyperlink r:id="rId11" w:history="1">
        <w:r w:rsidRPr="00E0540B">
          <w:rPr>
            <w:rStyle w:val="Hyperlink"/>
            <w:color w:val="auto"/>
            <w:u w:val="none"/>
          </w:rPr>
          <w:t>http://dx.doi.org/10.1086/505397</w:t>
        </w:r>
      </w:hyperlink>
      <w:r w:rsidRPr="00E0540B">
        <w:t>.</w:t>
      </w:r>
    </w:p>
    <w:p w:rsidR="00D1573A" w:rsidRPr="00E0540B" w:rsidRDefault="00D1573A" w:rsidP="000807E5">
      <w:pPr>
        <w:spacing w:after="200" w:line="264" w:lineRule="auto"/>
      </w:pPr>
      <w:r w:rsidRPr="00E0540B">
        <w:t>Kim</w:t>
      </w:r>
      <w:r w:rsidR="00E5035C">
        <w:t>,</w:t>
      </w:r>
      <w:r w:rsidRPr="00E0540B">
        <w:t xml:space="preserve"> H</w:t>
      </w:r>
      <w:r w:rsidR="00E5035C">
        <w:t>.</w:t>
      </w:r>
      <w:r w:rsidRPr="00E0540B">
        <w:t>B</w:t>
      </w:r>
      <w:r w:rsidR="00E5035C">
        <w:t>.</w:t>
      </w:r>
      <w:r w:rsidRPr="00E0540B">
        <w:t>, Park</w:t>
      </w:r>
      <w:r w:rsidR="00E5035C">
        <w:t>,</w:t>
      </w:r>
      <w:r w:rsidRPr="00E0540B">
        <w:t xml:space="preserve"> C</w:t>
      </w:r>
      <w:r w:rsidR="00E5035C">
        <w:t>.</w:t>
      </w:r>
      <w:r w:rsidRPr="00E0540B">
        <w:t>H</w:t>
      </w:r>
      <w:r w:rsidR="00E5035C">
        <w:t>.</w:t>
      </w:r>
      <w:r w:rsidRPr="00E0540B">
        <w:t>, Kim</w:t>
      </w:r>
      <w:r w:rsidR="00E5035C">
        <w:t>,</w:t>
      </w:r>
      <w:r w:rsidRPr="00E0540B">
        <w:t xml:space="preserve"> C</w:t>
      </w:r>
      <w:r w:rsidR="00E5035C">
        <w:t>.</w:t>
      </w:r>
      <w:r w:rsidRPr="00E0540B">
        <w:t>J</w:t>
      </w:r>
      <w:r w:rsidR="00E5035C">
        <w:t>.</w:t>
      </w:r>
      <w:r w:rsidRPr="00E0540B">
        <w:t>, Kim</w:t>
      </w:r>
      <w:r w:rsidR="00E5035C">
        <w:t>,</w:t>
      </w:r>
      <w:r w:rsidRPr="00E0540B">
        <w:t xml:space="preserve"> E</w:t>
      </w:r>
      <w:r w:rsidR="00E5035C">
        <w:t>.</w:t>
      </w:r>
      <w:r w:rsidRPr="00E0540B">
        <w:t>, Jacoby</w:t>
      </w:r>
      <w:r w:rsidR="00E5035C">
        <w:t>,</w:t>
      </w:r>
      <w:r w:rsidRPr="00E0540B">
        <w:t xml:space="preserve"> G</w:t>
      </w:r>
      <w:r w:rsidR="00E5035C">
        <w:t>.</w:t>
      </w:r>
      <w:r w:rsidRPr="00E0540B">
        <w:t>A</w:t>
      </w:r>
      <w:r w:rsidR="00E5035C">
        <w:t>.</w:t>
      </w:r>
      <w:r w:rsidRPr="00E0540B">
        <w:t xml:space="preserve">, </w:t>
      </w:r>
      <w:r w:rsidR="002E3833">
        <w:t xml:space="preserve">&amp; </w:t>
      </w:r>
      <w:r w:rsidRPr="00E0540B">
        <w:t>Hooper</w:t>
      </w:r>
      <w:r w:rsidR="002E3833">
        <w:t>,</w:t>
      </w:r>
      <w:r w:rsidRPr="00E0540B">
        <w:t xml:space="preserve"> D</w:t>
      </w:r>
      <w:r w:rsidR="002E3833">
        <w:t>.</w:t>
      </w:r>
      <w:r w:rsidRPr="00E0540B">
        <w:t xml:space="preserve">C. </w:t>
      </w:r>
      <w:r w:rsidR="00E5035C">
        <w:t>(</w:t>
      </w:r>
      <w:r w:rsidR="00E5035C" w:rsidRPr="00E0540B">
        <w:t>2009</w:t>
      </w:r>
      <w:r w:rsidR="00E5035C">
        <w:t xml:space="preserve">). </w:t>
      </w:r>
      <w:r w:rsidRPr="00E0540B">
        <w:t xml:space="preserve">Prevalence of plasmid-mediated quinolone resistance determinants over a 9-year period. </w:t>
      </w:r>
      <w:r w:rsidRPr="00E5035C">
        <w:rPr>
          <w:i/>
        </w:rPr>
        <w:t>Antimicrob</w:t>
      </w:r>
      <w:r w:rsidR="00E5035C" w:rsidRPr="00E5035C">
        <w:rPr>
          <w:i/>
        </w:rPr>
        <w:t>ial</w:t>
      </w:r>
      <w:r w:rsidRPr="00E5035C">
        <w:rPr>
          <w:i/>
        </w:rPr>
        <w:t xml:space="preserve"> Agents </w:t>
      </w:r>
      <w:r w:rsidR="00E5035C" w:rsidRPr="00E5035C">
        <w:rPr>
          <w:i/>
        </w:rPr>
        <w:t xml:space="preserve">and </w:t>
      </w:r>
      <w:r w:rsidRPr="00E5035C">
        <w:t>Chemother</w:t>
      </w:r>
      <w:r w:rsidR="00E5035C" w:rsidRPr="00E5035C">
        <w:t>apy</w:t>
      </w:r>
      <w:r w:rsidR="00E5035C">
        <w:t xml:space="preserve">, </w:t>
      </w:r>
      <w:r w:rsidRPr="00E5035C">
        <w:t>5</w:t>
      </w:r>
      <w:r w:rsidR="00E5035C">
        <w:t xml:space="preserve">, </w:t>
      </w:r>
      <w:r w:rsidRPr="00E0540B">
        <w:t>639-</w:t>
      </w:r>
      <w:r w:rsidR="00E5035C">
        <w:t>6</w:t>
      </w:r>
      <w:r w:rsidRPr="00E0540B">
        <w:t xml:space="preserve">45. </w:t>
      </w:r>
      <w:hyperlink r:id="rId12" w:history="1">
        <w:r w:rsidRPr="00E0540B">
          <w:rPr>
            <w:rStyle w:val="Hyperlink"/>
            <w:color w:val="auto"/>
            <w:u w:val="none"/>
          </w:rPr>
          <w:t>https://doi.org/10.1128/AAC.01051-08</w:t>
        </w:r>
      </w:hyperlink>
      <w:r w:rsidRPr="00E0540B">
        <w:t xml:space="preserve">. </w:t>
      </w:r>
    </w:p>
    <w:p w:rsidR="00D1573A" w:rsidRPr="00E0540B" w:rsidRDefault="00D1573A" w:rsidP="000807E5">
      <w:pPr>
        <w:spacing w:after="200" w:line="264" w:lineRule="auto"/>
      </w:pPr>
      <w:r w:rsidRPr="00E0540B">
        <w:t>Park</w:t>
      </w:r>
      <w:r w:rsidR="00E5035C">
        <w:t>,</w:t>
      </w:r>
      <w:r w:rsidRPr="00E0540B">
        <w:t xml:space="preserve"> C</w:t>
      </w:r>
      <w:r w:rsidR="00E5035C">
        <w:t>.</w:t>
      </w:r>
      <w:r w:rsidRPr="00E0540B">
        <w:t>H</w:t>
      </w:r>
      <w:r w:rsidR="00E5035C">
        <w:t>.</w:t>
      </w:r>
      <w:r w:rsidRPr="00E0540B">
        <w:t xml:space="preserve">, </w:t>
      </w:r>
      <w:proofErr w:type="spellStart"/>
      <w:r w:rsidRPr="00E0540B">
        <w:t>Robicsek</w:t>
      </w:r>
      <w:proofErr w:type="spellEnd"/>
      <w:r w:rsidR="00E5035C">
        <w:t>,</w:t>
      </w:r>
      <w:r w:rsidRPr="00E0540B">
        <w:t xml:space="preserve"> A</w:t>
      </w:r>
      <w:r w:rsidR="00E5035C">
        <w:t>.</w:t>
      </w:r>
      <w:r w:rsidRPr="00E0540B">
        <w:t>, Jacoby</w:t>
      </w:r>
      <w:r w:rsidR="00E5035C">
        <w:t>,</w:t>
      </w:r>
      <w:r w:rsidRPr="00E0540B">
        <w:t xml:space="preserve"> G</w:t>
      </w:r>
      <w:r w:rsidR="00E5035C">
        <w:t>.</w:t>
      </w:r>
      <w:r w:rsidRPr="00E0540B">
        <w:t>A</w:t>
      </w:r>
      <w:r w:rsidR="00E5035C">
        <w:t>.</w:t>
      </w:r>
      <w:r w:rsidRPr="00E0540B">
        <w:t xml:space="preserve">, </w:t>
      </w:r>
      <w:proofErr w:type="spellStart"/>
      <w:r w:rsidRPr="00E0540B">
        <w:t>Sahm</w:t>
      </w:r>
      <w:proofErr w:type="spellEnd"/>
      <w:r w:rsidR="00E5035C">
        <w:t>,</w:t>
      </w:r>
      <w:r w:rsidRPr="00E0540B">
        <w:t xml:space="preserve"> D</w:t>
      </w:r>
      <w:r w:rsidR="00E5035C">
        <w:t>.</w:t>
      </w:r>
      <w:r w:rsidRPr="00E0540B">
        <w:t xml:space="preserve">, </w:t>
      </w:r>
      <w:r w:rsidR="00E5035C">
        <w:t xml:space="preserve">&amp; </w:t>
      </w:r>
      <w:r w:rsidRPr="00E0540B">
        <w:t>Hooper</w:t>
      </w:r>
      <w:r w:rsidR="00E5035C">
        <w:t>,</w:t>
      </w:r>
      <w:r w:rsidRPr="00E0540B">
        <w:t xml:space="preserve"> D</w:t>
      </w:r>
      <w:r w:rsidR="00E5035C">
        <w:t>.</w:t>
      </w:r>
      <w:r w:rsidRPr="00E0540B">
        <w:t xml:space="preserve">C. </w:t>
      </w:r>
      <w:r w:rsidR="00E5035C">
        <w:t>(</w:t>
      </w:r>
      <w:r w:rsidR="00E5035C" w:rsidRPr="00E0540B">
        <w:t>2006</w:t>
      </w:r>
      <w:r w:rsidR="00E5035C">
        <w:t xml:space="preserve">). </w:t>
      </w:r>
      <w:r w:rsidRPr="00E0540B">
        <w:t xml:space="preserve">Prevalence in the United States of </w:t>
      </w:r>
      <w:proofErr w:type="spellStart"/>
      <w:proofErr w:type="gramStart"/>
      <w:r w:rsidRPr="00E0540B">
        <w:rPr>
          <w:i/>
        </w:rPr>
        <w:t>aac</w:t>
      </w:r>
      <w:proofErr w:type="spellEnd"/>
      <w:r w:rsidRPr="00E0540B">
        <w:rPr>
          <w:i/>
        </w:rPr>
        <w:t>(</w:t>
      </w:r>
      <w:proofErr w:type="gramEnd"/>
      <w:r w:rsidRPr="00E0540B">
        <w:rPr>
          <w:i/>
        </w:rPr>
        <w:t>6’)-</w:t>
      </w:r>
      <w:proofErr w:type="spellStart"/>
      <w:r w:rsidRPr="00E0540B">
        <w:rPr>
          <w:i/>
        </w:rPr>
        <w:t>Ib-cr</w:t>
      </w:r>
      <w:proofErr w:type="spellEnd"/>
      <w:r w:rsidRPr="00E0540B">
        <w:t xml:space="preserve"> encoding a ciprofloxacin-modifying enzyme. </w:t>
      </w:r>
      <w:r w:rsidRPr="00E5035C">
        <w:rPr>
          <w:i/>
        </w:rPr>
        <w:t>Antimicrob</w:t>
      </w:r>
      <w:r w:rsidR="00E5035C" w:rsidRPr="00E5035C">
        <w:rPr>
          <w:i/>
        </w:rPr>
        <w:t>ial</w:t>
      </w:r>
      <w:r w:rsidRPr="00E5035C">
        <w:rPr>
          <w:i/>
        </w:rPr>
        <w:t xml:space="preserve"> Agents</w:t>
      </w:r>
      <w:r w:rsidR="00E5035C" w:rsidRPr="00E5035C">
        <w:rPr>
          <w:i/>
        </w:rPr>
        <w:t xml:space="preserve"> and</w:t>
      </w:r>
      <w:r w:rsidRPr="00E5035C">
        <w:rPr>
          <w:i/>
        </w:rPr>
        <w:t xml:space="preserve"> Chemother</w:t>
      </w:r>
      <w:r w:rsidR="00E5035C" w:rsidRPr="00E5035C">
        <w:rPr>
          <w:i/>
        </w:rPr>
        <w:t>apy</w:t>
      </w:r>
      <w:r w:rsidR="00E5035C" w:rsidRPr="00E5035C">
        <w:t>,</w:t>
      </w:r>
      <w:r w:rsidR="00E5035C">
        <w:rPr>
          <w:i/>
        </w:rPr>
        <w:t xml:space="preserve"> </w:t>
      </w:r>
      <w:r w:rsidRPr="00E0540B">
        <w:t>50</w:t>
      </w:r>
      <w:r w:rsidR="00E5035C">
        <w:t xml:space="preserve">, </w:t>
      </w:r>
      <w:r w:rsidRPr="00E0540B">
        <w:t>3953-</w:t>
      </w:r>
      <w:r w:rsidR="00E5035C">
        <w:t>395</w:t>
      </w:r>
      <w:r w:rsidRPr="00E0540B">
        <w:t xml:space="preserve">5. </w:t>
      </w:r>
      <w:hyperlink r:id="rId13" w:history="1">
        <w:r w:rsidRPr="00E0540B">
          <w:rPr>
            <w:rStyle w:val="Hyperlink"/>
            <w:color w:val="auto"/>
            <w:u w:val="none"/>
          </w:rPr>
          <w:t>https://doi.org/10.1128/AAC.00915-06</w:t>
        </w:r>
      </w:hyperlink>
      <w:r w:rsidRPr="00E0540B">
        <w:t xml:space="preserve">. </w:t>
      </w:r>
    </w:p>
    <w:p w:rsidR="00D1573A" w:rsidRPr="00E0540B" w:rsidRDefault="00D1573A" w:rsidP="000807E5">
      <w:pPr>
        <w:spacing w:after="200" w:line="264" w:lineRule="auto"/>
      </w:pPr>
      <w:proofErr w:type="spellStart"/>
      <w:r w:rsidRPr="00E0540B">
        <w:t>Robicsek</w:t>
      </w:r>
      <w:proofErr w:type="spellEnd"/>
      <w:r w:rsidR="00E5035C">
        <w:t>,</w:t>
      </w:r>
      <w:r w:rsidRPr="00E0540B">
        <w:t xml:space="preserve"> A</w:t>
      </w:r>
      <w:r w:rsidR="00E5035C">
        <w:t>.</w:t>
      </w:r>
      <w:r w:rsidRPr="00E0540B">
        <w:t xml:space="preserve">, </w:t>
      </w:r>
      <w:proofErr w:type="spellStart"/>
      <w:r w:rsidRPr="00E0540B">
        <w:t>Strahilevitz</w:t>
      </w:r>
      <w:proofErr w:type="spellEnd"/>
      <w:r w:rsidR="00E5035C">
        <w:t>,</w:t>
      </w:r>
      <w:r w:rsidRPr="00E0540B">
        <w:t xml:space="preserve"> J</w:t>
      </w:r>
      <w:r w:rsidR="00E5035C">
        <w:t>.</w:t>
      </w:r>
      <w:r w:rsidRPr="00E0540B">
        <w:t xml:space="preserve">, </w:t>
      </w:r>
      <w:proofErr w:type="spellStart"/>
      <w:r w:rsidRPr="00E0540B">
        <w:t>Sahmn</w:t>
      </w:r>
      <w:proofErr w:type="spellEnd"/>
      <w:r w:rsidR="00E5035C">
        <w:t>,</w:t>
      </w:r>
      <w:r w:rsidRPr="00E0540B">
        <w:t xml:space="preserve"> D</w:t>
      </w:r>
      <w:r w:rsidR="00E5035C">
        <w:t>.</w:t>
      </w:r>
      <w:r w:rsidRPr="00E0540B">
        <w:t>F</w:t>
      </w:r>
      <w:r w:rsidR="00E5035C">
        <w:t>.</w:t>
      </w:r>
      <w:r w:rsidRPr="00E0540B">
        <w:t>, Jacoby</w:t>
      </w:r>
      <w:r w:rsidR="00E5035C">
        <w:t>,</w:t>
      </w:r>
      <w:r w:rsidRPr="00E0540B">
        <w:t xml:space="preserve"> G</w:t>
      </w:r>
      <w:r w:rsidR="00E5035C">
        <w:t>.</w:t>
      </w:r>
      <w:r w:rsidRPr="00E0540B">
        <w:t>A</w:t>
      </w:r>
      <w:r w:rsidR="00E5035C">
        <w:t>.</w:t>
      </w:r>
      <w:r w:rsidRPr="00E0540B">
        <w:t xml:space="preserve">, </w:t>
      </w:r>
      <w:r w:rsidR="00E5035C">
        <w:t xml:space="preserve">&amp; </w:t>
      </w:r>
      <w:r w:rsidRPr="00E0540B">
        <w:t>Hooper</w:t>
      </w:r>
      <w:r w:rsidR="00E5035C">
        <w:t>,</w:t>
      </w:r>
      <w:r w:rsidRPr="00E0540B">
        <w:t xml:space="preserve"> D</w:t>
      </w:r>
      <w:r w:rsidR="00E5035C">
        <w:t>.</w:t>
      </w:r>
      <w:r w:rsidRPr="00E0540B">
        <w:t xml:space="preserve">C. </w:t>
      </w:r>
      <w:r w:rsidR="00E5035C">
        <w:t>(</w:t>
      </w:r>
      <w:r w:rsidR="00E5035C" w:rsidRPr="00E0540B">
        <w:t>2006</w:t>
      </w:r>
      <w:r w:rsidR="00E5035C">
        <w:t xml:space="preserve">) </w:t>
      </w:r>
      <w:proofErr w:type="spellStart"/>
      <w:r w:rsidRPr="00E0540B">
        <w:rPr>
          <w:i/>
        </w:rPr>
        <w:t>qnr</w:t>
      </w:r>
      <w:proofErr w:type="spellEnd"/>
      <w:r w:rsidRPr="00E0540B">
        <w:t xml:space="preserve"> prevalence in </w:t>
      </w:r>
      <w:proofErr w:type="spellStart"/>
      <w:r w:rsidRPr="00E0540B">
        <w:t>ceftazidime</w:t>
      </w:r>
      <w:proofErr w:type="spellEnd"/>
      <w:r w:rsidRPr="00E0540B">
        <w:t xml:space="preserve">-resistant </w:t>
      </w:r>
      <w:proofErr w:type="spellStart"/>
      <w:r w:rsidRPr="00E0540B">
        <w:rPr>
          <w:i/>
        </w:rPr>
        <w:t>Enterobacteriaceae</w:t>
      </w:r>
      <w:proofErr w:type="spellEnd"/>
      <w:r w:rsidRPr="00E0540B">
        <w:t xml:space="preserve"> isolates from the United States. </w:t>
      </w:r>
      <w:r w:rsidRPr="00E5035C">
        <w:rPr>
          <w:i/>
        </w:rPr>
        <w:t>Antimicrob</w:t>
      </w:r>
      <w:r w:rsidR="00E5035C" w:rsidRPr="00E5035C">
        <w:rPr>
          <w:i/>
        </w:rPr>
        <w:t>ial</w:t>
      </w:r>
      <w:r w:rsidRPr="00E5035C">
        <w:rPr>
          <w:i/>
        </w:rPr>
        <w:t xml:space="preserve"> Agents </w:t>
      </w:r>
      <w:r w:rsidR="00E5035C" w:rsidRPr="00E5035C">
        <w:rPr>
          <w:i/>
        </w:rPr>
        <w:t xml:space="preserve">and </w:t>
      </w:r>
      <w:r w:rsidRPr="00E5035C">
        <w:rPr>
          <w:i/>
        </w:rPr>
        <w:t>Chemother</w:t>
      </w:r>
      <w:r w:rsidR="00E5035C" w:rsidRPr="00E5035C">
        <w:rPr>
          <w:i/>
        </w:rPr>
        <w:t>apy</w:t>
      </w:r>
      <w:r w:rsidR="00E5035C">
        <w:t xml:space="preserve">, </w:t>
      </w:r>
      <w:r w:rsidRPr="00E0540B">
        <w:t>50</w:t>
      </w:r>
      <w:r w:rsidR="00E5035C">
        <w:t xml:space="preserve">, </w:t>
      </w:r>
      <w:r w:rsidRPr="00E0540B">
        <w:t>2872-</w:t>
      </w:r>
      <w:r w:rsidR="00B21E36">
        <w:t>287</w:t>
      </w:r>
      <w:r w:rsidRPr="00E0540B">
        <w:t xml:space="preserve">4. </w:t>
      </w:r>
      <w:hyperlink r:id="rId14" w:history="1">
        <w:r w:rsidRPr="00E0540B">
          <w:rPr>
            <w:rStyle w:val="Hyperlink"/>
            <w:color w:val="auto"/>
            <w:u w:val="none"/>
          </w:rPr>
          <w:t>https://doi.org/10.1128/AAC.01647-05</w:t>
        </w:r>
      </w:hyperlink>
      <w:r w:rsidRPr="00E0540B">
        <w:t xml:space="preserve">. </w:t>
      </w:r>
    </w:p>
    <w:p w:rsidR="00D1573A" w:rsidRPr="00E0540B" w:rsidRDefault="00D1573A" w:rsidP="000807E5">
      <w:pPr>
        <w:spacing w:after="200" w:line="264" w:lineRule="auto"/>
      </w:pPr>
      <w:r w:rsidRPr="00E0540B">
        <w:t>Wang</w:t>
      </w:r>
      <w:r w:rsidR="00B21E36">
        <w:t>,</w:t>
      </w:r>
      <w:r w:rsidRPr="00E0540B">
        <w:t xml:space="preserve"> M</w:t>
      </w:r>
      <w:r w:rsidR="00B21E36">
        <w:t>.</w:t>
      </w:r>
      <w:r w:rsidRPr="00E0540B">
        <w:t xml:space="preserve">, </w:t>
      </w:r>
      <w:proofErr w:type="spellStart"/>
      <w:r w:rsidRPr="00E0540B">
        <w:t>Guo</w:t>
      </w:r>
      <w:proofErr w:type="spellEnd"/>
      <w:r w:rsidR="00B21E36">
        <w:t>,</w:t>
      </w:r>
      <w:r w:rsidRPr="00E0540B">
        <w:t xml:space="preserve"> Q</w:t>
      </w:r>
      <w:r w:rsidR="00B21E36">
        <w:t>.</w:t>
      </w:r>
      <w:r w:rsidRPr="00E0540B">
        <w:t>, Xu</w:t>
      </w:r>
      <w:r w:rsidR="00B21E36">
        <w:t>,</w:t>
      </w:r>
      <w:r w:rsidRPr="00E0540B">
        <w:t xml:space="preserve"> X</w:t>
      </w:r>
      <w:r w:rsidR="00B21E36">
        <w:t>.</w:t>
      </w:r>
      <w:r w:rsidRPr="00E0540B">
        <w:t>, Wang</w:t>
      </w:r>
      <w:r w:rsidR="00B21E36">
        <w:t>,</w:t>
      </w:r>
      <w:r w:rsidRPr="00E0540B">
        <w:t xml:space="preserve"> X</w:t>
      </w:r>
      <w:r w:rsidR="00B21E36">
        <w:t>.</w:t>
      </w:r>
      <w:r w:rsidRPr="00E0540B">
        <w:t>, Ye</w:t>
      </w:r>
      <w:r w:rsidR="00B21E36">
        <w:t>,</w:t>
      </w:r>
      <w:r w:rsidRPr="00E0540B">
        <w:t xml:space="preserve"> X</w:t>
      </w:r>
      <w:r w:rsidR="00B21E36">
        <w:t>.</w:t>
      </w:r>
      <w:r w:rsidRPr="00E0540B">
        <w:t>, Wu</w:t>
      </w:r>
      <w:r w:rsidR="00B21E36">
        <w:t>,</w:t>
      </w:r>
      <w:r w:rsidRPr="00E0540B">
        <w:t xml:space="preserve"> S</w:t>
      </w:r>
      <w:r w:rsidR="00B21E36">
        <w:t>.</w:t>
      </w:r>
      <w:proofErr w:type="gramStart"/>
      <w:r w:rsidRPr="00E0540B">
        <w:t>,</w:t>
      </w:r>
      <w:r w:rsidR="00B21E36">
        <w:t>…</w:t>
      </w:r>
      <w:proofErr w:type="gramEnd"/>
      <w:r w:rsidR="00B21E36">
        <w:t>Wang, M</w:t>
      </w:r>
      <w:r w:rsidRPr="00E0540B">
        <w:t xml:space="preserve">. </w:t>
      </w:r>
      <w:r w:rsidR="00B21E36">
        <w:t>(</w:t>
      </w:r>
      <w:r w:rsidR="00B21E36" w:rsidRPr="00E0540B">
        <w:t>2009</w:t>
      </w:r>
      <w:r w:rsidR="00B21E36">
        <w:t xml:space="preserve">). </w:t>
      </w:r>
      <w:r w:rsidRPr="00E0540B">
        <w:t xml:space="preserve">New plasmid-mediated quinolone resistance gene, </w:t>
      </w:r>
      <w:proofErr w:type="spellStart"/>
      <w:r w:rsidRPr="00E0540B">
        <w:rPr>
          <w:i/>
        </w:rPr>
        <w:t>qnrC</w:t>
      </w:r>
      <w:proofErr w:type="spellEnd"/>
      <w:r w:rsidRPr="00E0540B">
        <w:rPr>
          <w:i/>
        </w:rPr>
        <w:t>,</w:t>
      </w:r>
      <w:r w:rsidRPr="00E0540B">
        <w:t xml:space="preserve"> found in a clinical isolate of </w:t>
      </w:r>
      <w:r w:rsidRPr="00E0540B">
        <w:rPr>
          <w:i/>
        </w:rPr>
        <w:t>Proteus</w:t>
      </w:r>
      <w:r w:rsidRPr="00E0540B">
        <w:t xml:space="preserve"> </w:t>
      </w:r>
      <w:r w:rsidRPr="00E0540B">
        <w:rPr>
          <w:i/>
        </w:rPr>
        <w:t>mirabilis</w:t>
      </w:r>
      <w:r w:rsidRPr="00E0540B">
        <w:t xml:space="preserve">. </w:t>
      </w:r>
      <w:r w:rsidRPr="00E5035C">
        <w:rPr>
          <w:i/>
        </w:rPr>
        <w:t>Antimicrob</w:t>
      </w:r>
      <w:r w:rsidR="00E5035C" w:rsidRPr="00E5035C">
        <w:rPr>
          <w:i/>
        </w:rPr>
        <w:t>ial</w:t>
      </w:r>
      <w:r w:rsidRPr="00E5035C">
        <w:rPr>
          <w:i/>
        </w:rPr>
        <w:t xml:space="preserve"> Agents </w:t>
      </w:r>
      <w:r w:rsidR="00E5035C" w:rsidRPr="00E5035C">
        <w:rPr>
          <w:i/>
        </w:rPr>
        <w:t xml:space="preserve">and </w:t>
      </w:r>
      <w:r w:rsidRPr="00E5035C">
        <w:rPr>
          <w:i/>
        </w:rPr>
        <w:t>Chemother</w:t>
      </w:r>
      <w:r w:rsidR="00E5035C" w:rsidRPr="00E5035C">
        <w:rPr>
          <w:i/>
        </w:rPr>
        <w:t>apy</w:t>
      </w:r>
      <w:r w:rsidR="00B21E36">
        <w:t xml:space="preserve">, </w:t>
      </w:r>
      <w:r w:rsidRPr="00E0540B">
        <w:t>53</w:t>
      </w:r>
      <w:r w:rsidR="00B21E36">
        <w:t xml:space="preserve">, </w:t>
      </w:r>
      <w:r w:rsidRPr="00E0540B">
        <w:t>1892-</w:t>
      </w:r>
      <w:r w:rsidR="00B21E36">
        <w:t>189</w:t>
      </w:r>
      <w:r w:rsidRPr="00E0540B">
        <w:t xml:space="preserve">7. </w:t>
      </w:r>
      <w:hyperlink r:id="rId15" w:history="1">
        <w:r w:rsidRPr="00E0540B">
          <w:rPr>
            <w:rStyle w:val="Hyperlink"/>
            <w:color w:val="auto"/>
            <w:u w:val="none"/>
          </w:rPr>
          <w:t>https://doi.org/10.1128/AAC.01400-08</w:t>
        </w:r>
      </w:hyperlink>
      <w:r w:rsidRPr="00E0540B">
        <w:t xml:space="preserve">. </w:t>
      </w:r>
    </w:p>
    <w:p w:rsidR="00D1573A" w:rsidRPr="00E0540B" w:rsidRDefault="00D1573A" w:rsidP="000807E5">
      <w:pPr>
        <w:spacing w:after="200" w:line="264" w:lineRule="auto"/>
      </w:pPr>
      <w:r w:rsidRPr="00E0540B">
        <w:t>Yuan</w:t>
      </w:r>
      <w:r w:rsidR="00B21E36">
        <w:t>,</w:t>
      </w:r>
      <w:r w:rsidRPr="00E0540B">
        <w:t xml:space="preserve"> J</w:t>
      </w:r>
      <w:r w:rsidR="00B21E36">
        <w:t>.</w:t>
      </w:r>
      <w:r w:rsidRPr="00E0540B">
        <w:t>, Xu</w:t>
      </w:r>
      <w:r w:rsidR="00B21E36">
        <w:t>,</w:t>
      </w:r>
      <w:r w:rsidRPr="00E0540B">
        <w:t xml:space="preserve"> X</w:t>
      </w:r>
      <w:r w:rsidR="00B21E36">
        <w:t>.</w:t>
      </w:r>
      <w:r w:rsidRPr="00E0540B">
        <w:t xml:space="preserve">, </w:t>
      </w:r>
      <w:proofErr w:type="spellStart"/>
      <w:r w:rsidRPr="00E0540B">
        <w:t>Guo</w:t>
      </w:r>
      <w:proofErr w:type="spellEnd"/>
      <w:r w:rsidR="00B21E36">
        <w:t>,</w:t>
      </w:r>
      <w:r w:rsidRPr="00E0540B">
        <w:t xml:space="preserve"> Q</w:t>
      </w:r>
      <w:r w:rsidR="00B21E36">
        <w:t>.</w:t>
      </w:r>
      <w:r w:rsidRPr="00E0540B">
        <w:t>, Zhao</w:t>
      </w:r>
      <w:r w:rsidR="00B21E36">
        <w:t>,</w:t>
      </w:r>
      <w:r w:rsidRPr="00E0540B">
        <w:t xml:space="preserve"> X</w:t>
      </w:r>
      <w:r w:rsidR="00B21E36">
        <w:t>.</w:t>
      </w:r>
      <w:r w:rsidRPr="00E0540B">
        <w:t>, Ye</w:t>
      </w:r>
      <w:r w:rsidR="00B21E36">
        <w:t>,</w:t>
      </w:r>
      <w:r w:rsidRPr="00E0540B">
        <w:t xml:space="preserve"> X</w:t>
      </w:r>
      <w:r w:rsidR="00B21E36">
        <w:t>.</w:t>
      </w:r>
      <w:r w:rsidRPr="00E0540B">
        <w:t xml:space="preserve">, </w:t>
      </w:r>
      <w:proofErr w:type="spellStart"/>
      <w:r w:rsidRPr="00E0540B">
        <w:t>Guo</w:t>
      </w:r>
      <w:proofErr w:type="spellEnd"/>
      <w:r w:rsidR="00B21E36">
        <w:t>,</w:t>
      </w:r>
      <w:r w:rsidRPr="00E0540B">
        <w:t xml:space="preserve"> Y</w:t>
      </w:r>
      <w:r w:rsidR="00B21E36">
        <w:t>.</w:t>
      </w:r>
      <w:r w:rsidRPr="00E0540B">
        <w:t xml:space="preserve">, </w:t>
      </w:r>
      <w:r w:rsidR="00B21E36">
        <w:t>&amp; Wang, M</w:t>
      </w:r>
      <w:r w:rsidRPr="00E0540B">
        <w:t xml:space="preserve">. </w:t>
      </w:r>
      <w:r w:rsidR="00B21E36">
        <w:t>(</w:t>
      </w:r>
      <w:r w:rsidR="00B21E36" w:rsidRPr="00E0540B">
        <w:t>2012</w:t>
      </w:r>
      <w:r w:rsidR="00B21E36">
        <w:t xml:space="preserve">). </w:t>
      </w:r>
      <w:r w:rsidRPr="00E0540B">
        <w:t xml:space="preserve">Prevalence of the </w:t>
      </w:r>
      <w:proofErr w:type="spellStart"/>
      <w:r w:rsidRPr="00E0540B">
        <w:rPr>
          <w:i/>
        </w:rPr>
        <w:t>oqxAB</w:t>
      </w:r>
      <w:proofErr w:type="spellEnd"/>
      <w:r w:rsidRPr="00E0540B">
        <w:t xml:space="preserve"> gene complex in </w:t>
      </w:r>
      <w:proofErr w:type="spellStart"/>
      <w:r w:rsidRPr="00E0540B">
        <w:rPr>
          <w:i/>
        </w:rPr>
        <w:t>Klebsiella</w:t>
      </w:r>
      <w:proofErr w:type="spellEnd"/>
      <w:r w:rsidRPr="00E0540B">
        <w:t xml:space="preserve"> </w:t>
      </w:r>
      <w:proofErr w:type="spellStart"/>
      <w:r w:rsidRPr="00E0540B">
        <w:rPr>
          <w:i/>
        </w:rPr>
        <w:t>pneumoniae</w:t>
      </w:r>
      <w:proofErr w:type="spellEnd"/>
      <w:r w:rsidRPr="00E0540B">
        <w:t xml:space="preserve"> and </w:t>
      </w:r>
      <w:r w:rsidRPr="00E0540B">
        <w:rPr>
          <w:i/>
        </w:rPr>
        <w:t>Escherichia</w:t>
      </w:r>
      <w:r w:rsidRPr="00E0540B">
        <w:t xml:space="preserve"> </w:t>
      </w:r>
      <w:r w:rsidRPr="00E0540B">
        <w:rPr>
          <w:i/>
        </w:rPr>
        <w:t>coli</w:t>
      </w:r>
      <w:r w:rsidRPr="00E0540B">
        <w:t xml:space="preserve"> clinical isolates. </w:t>
      </w:r>
      <w:r w:rsidRPr="00E5035C">
        <w:rPr>
          <w:i/>
        </w:rPr>
        <w:t>J</w:t>
      </w:r>
      <w:r w:rsidR="00E5035C" w:rsidRPr="00E5035C">
        <w:rPr>
          <w:i/>
        </w:rPr>
        <w:t>ournal of</w:t>
      </w:r>
      <w:r w:rsidRPr="00E5035C">
        <w:rPr>
          <w:i/>
        </w:rPr>
        <w:t xml:space="preserve"> Antimicrob</w:t>
      </w:r>
      <w:r w:rsidR="00E5035C" w:rsidRPr="00E5035C">
        <w:rPr>
          <w:i/>
        </w:rPr>
        <w:t>ial</w:t>
      </w:r>
      <w:r w:rsidRPr="00E5035C">
        <w:rPr>
          <w:i/>
        </w:rPr>
        <w:t xml:space="preserve"> Chemother</w:t>
      </w:r>
      <w:r w:rsidR="00E5035C" w:rsidRPr="00E5035C">
        <w:rPr>
          <w:i/>
        </w:rPr>
        <w:t>apy</w:t>
      </w:r>
      <w:r w:rsidR="00B21E36">
        <w:t xml:space="preserve">, </w:t>
      </w:r>
      <w:r w:rsidRPr="00E0540B">
        <w:t>67</w:t>
      </w:r>
      <w:r w:rsidR="00B21E36">
        <w:t xml:space="preserve">, </w:t>
      </w:r>
      <w:r w:rsidRPr="00E0540B">
        <w:t>1655-</w:t>
      </w:r>
      <w:r w:rsidR="00B21E36">
        <w:t>165</w:t>
      </w:r>
      <w:r w:rsidRPr="00E0540B">
        <w:t xml:space="preserve">9. </w:t>
      </w:r>
      <w:hyperlink r:id="rId16" w:history="1">
        <w:r w:rsidRPr="00E0540B">
          <w:rPr>
            <w:rStyle w:val="Hyperlink"/>
            <w:color w:val="auto"/>
            <w:u w:val="none"/>
          </w:rPr>
          <w:t>https://doi.org/10.1093/jac/dks086</w:t>
        </w:r>
      </w:hyperlink>
      <w:r w:rsidRPr="00E0540B">
        <w:t xml:space="preserve">. </w:t>
      </w:r>
    </w:p>
    <w:p w:rsidR="00D1573A" w:rsidRPr="00064401" w:rsidRDefault="00D1573A" w:rsidP="00D1573A"/>
    <w:p w:rsidR="00FB3943" w:rsidRDefault="00FB3943" w:rsidP="00D1573A"/>
    <w:sectPr w:rsidR="00FB3943" w:rsidSect="0006440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0A36"/>
    <w:multiLevelType w:val="hybridMultilevel"/>
    <w:tmpl w:val="70DC2776"/>
    <w:lvl w:ilvl="0" w:tplc="4AD05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01"/>
    <w:rsid w:val="00064401"/>
    <w:rsid w:val="000807E5"/>
    <w:rsid w:val="001C42BE"/>
    <w:rsid w:val="0022157B"/>
    <w:rsid w:val="002E363A"/>
    <w:rsid w:val="002E3833"/>
    <w:rsid w:val="0040625E"/>
    <w:rsid w:val="004311EA"/>
    <w:rsid w:val="00655C30"/>
    <w:rsid w:val="006D7412"/>
    <w:rsid w:val="00735BAA"/>
    <w:rsid w:val="00774468"/>
    <w:rsid w:val="007F5184"/>
    <w:rsid w:val="00855847"/>
    <w:rsid w:val="008612D0"/>
    <w:rsid w:val="008A3314"/>
    <w:rsid w:val="008C4F32"/>
    <w:rsid w:val="008E2445"/>
    <w:rsid w:val="008E3032"/>
    <w:rsid w:val="00935A92"/>
    <w:rsid w:val="00973509"/>
    <w:rsid w:val="00AC26F2"/>
    <w:rsid w:val="00B12D26"/>
    <w:rsid w:val="00B1441D"/>
    <w:rsid w:val="00B21E36"/>
    <w:rsid w:val="00B903E3"/>
    <w:rsid w:val="00BD0930"/>
    <w:rsid w:val="00BF2981"/>
    <w:rsid w:val="00BF30D2"/>
    <w:rsid w:val="00CE145B"/>
    <w:rsid w:val="00D1573A"/>
    <w:rsid w:val="00D46867"/>
    <w:rsid w:val="00E0540B"/>
    <w:rsid w:val="00E5035C"/>
    <w:rsid w:val="00F416C9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D1E8"/>
  <w15:chartTrackingRefBased/>
  <w15:docId w15:val="{F6E18BEC-86E1-4479-8C97-9FE0204D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401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6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28/AAC.00997-08" TargetMode="External"/><Relationship Id="rId13" Type="http://schemas.openxmlformats.org/officeDocument/2006/relationships/hyperlink" Target="https://doi.org/10.1128/AAC.00915-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sra/" TargetMode="External"/><Relationship Id="rId12" Type="http://schemas.openxmlformats.org/officeDocument/2006/relationships/hyperlink" Target="https://doi.org/10.1128/AAC.01051-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jac/dks0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ge.cbs.dtu.dk/services/" TargetMode="External"/><Relationship Id="rId11" Type="http://schemas.openxmlformats.org/officeDocument/2006/relationships/hyperlink" Target="http://dx.doi.org/10.1086/5053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28/AAC.01400-08" TargetMode="External"/><Relationship Id="rId10" Type="http://schemas.openxmlformats.org/officeDocument/2006/relationships/hyperlink" Target="https://doi.org/10.1128/AAC.48.10.4012-4015.2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doi:10.1128/JCM.40.11.4121-4125.2002" TargetMode="External"/><Relationship Id="rId14" Type="http://schemas.openxmlformats.org/officeDocument/2006/relationships/hyperlink" Target="https://doi.org/10.1128/AAC.01647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CFF5-B8F8-4534-B2AF-053C2920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Karp, Beth E. (CDC/OID/NCEZID)</dc:creator>
  <cp:keywords/>
  <dc:description/>
  <cp:lastModifiedBy>Karp, Beth E. (CDC/OID/NCEZID)</cp:lastModifiedBy>
  <cp:revision>8</cp:revision>
  <dcterms:created xsi:type="dcterms:W3CDTF">2018-04-18T17:03:00Z</dcterms:created>
  <dcterms:modified xsi:type="dcterms:W3CDTF">2018-04-23T22:34:00Z</dcterms:modified>
</cp:coreProperties>
</file>