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AC9" w:rsidRPr="00EF34A4" w:rsidRDefault="00CD6F0E" w:rsidP="004E0AC9">
      <w:pPr>
        <w:pStyle w:val="Caption"/>
        <w:keepNext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F34A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Supplemental </w:t>
      </w:r>
      <w:r w:rsidR="00EF34A4" w:rsidRPr="00EF34A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digital </w:t>
      </w:r>
      <w:r w:rsidRPr="00EF34A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t</w:t>
      </w:r>
      <w:r w:rsidR="004E0AC9" w:rsidRPr="00EF34A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able </w:t>
      </w:r>
      <w:r w:rsidRPr="00EF34A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2</w:t>
      </w:r>
      <w:r w:rsidR="004E0AC9" w:rsidRPr="00EF34A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: Comparison of methods: </w:t>
      </w:r>
      <w:r w:rsidR="004E0AC9" w:rsidRPr="00EF34A4">
        <w:rPr>
          <w:rFonts w:ascii="Times New Roman" w:hAnsi="Times New Roman" w:cs="Times New Roman"/>
          <w:b/>
          <w:color w:val="auto"/>
          <w:sz w:val="24"/>
          <w:szCs w:val="24"/>
        </w:rPr>
        <w:t>partial attributable fraction</w:t>
      </w:r>
      <w:r w:rsidR="004E0AC9" w:rsidRPr="00EF34A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versus </w:t>
      </w:r>
      <w:r w:rsidR="004E0AC9" w:rsidRPr="00EF34A4">
        <w:rPr>
          <w:rFonts w:ascii="Times New Roman" w:hAnsi="Times New Roman" w:cs="Times New Roman"/>
          <w:b/>
          <w:color w:val="auto"/>
          <w:sz w:val="24"/>
          <w:szCs w:val="24"/>
        </w:rPr>
        <w:t>count appli</w:t>
      </w:r>
      <w:bookmarkStart w:id="0" w:name="_GoBack"/>
      <w:bookmarkEnd w:id="0"/>
      <w:r w:rsidR="004E0AC9" w:rsidRPr="00EF34A4">
        <w:rPr>
          <w:rFonts w:ascii="Times New Roman" w:hAnsi="Times New Roman" w:cs="Times New Roman"/>
          <w:b/>
          <w:color w:val="auto"/>
          <w:sz w:val="24"/>
          <w:szCs w:val="24"/>
        </w:rPr>
        <w:t>ed to cost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515"/>
        <w:gridCol w:w="3870"/>
        <w:gridCol w:w="3960"/>
      </w:tblGrid>
      <w:tr w:rsidR="004E0AC9" w:rsidRPr="00C67904" w:rsidTr="00062B82">
        <w:tc>
          <w:tcPr>
            <w:tcW w:w="2515" w:type="dxa"/>
            <w:vMerge w:val="restart"/>
            <w:vAlign w:val="center"/>
          </w:tcPr>
          <w:p w:rsidR="004E0AC9" w:rsidRPr="007E6E4E" w:rsidRDefault="004E0AC9" w:rsidP="00062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Clinical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7E6E4E">
              <w:rPr>
                <w:rFonts w:ascii="Times New Roman" w:hAnsi="Times New Roman" w:cs="Times New Roman"/>
                <w:b/>
                <w:sz w:val="24"/>
                <w:szCs w:val="24"/>
              </w:rPr>
              <w:t>ost parameters</w:t>
            </w:r>
          </w:p>
        </w:tc>
        <w:tc>
          <w:tcPr>
            <w:tcW w:w="7830" w:type="dxa"/>
            <w:gridSpan w:val="2"/>
            <w:vAlign w:val="center"/>
          </w:tcPr>
          <w:p w:rsidR="004E0AC9" w:rsidRPr="00963A20" w:rsidRDefault="004E0AC9" w:rsidP="0006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20">
              <w:rPr>
                <w:rFonts w:ascii="Times New Roman" w:hAnsi="Times New Roman" w:cs="Times New Roman"/>
                <w:b/>
                <w:sz w:val="24"/>
                <w:szCs w:val="24"/>
              </w:rPr>
              <w:t>Method</w:t>
            </w:r>
          </w:p>
        </w:tc>
      </w:tr>
      <w:tr w:rsidR="004E0AC9" w:rsidRPr="00C67904" w:rsidTr="00062B82">
        <w:trPr>
          <w:trHeight w:val="332"/>
        </w:trPr>
        <w:tc>
          <w:tcPr>
            <w:tcW w:w="2515" w:type="dxa"/>
            <w:vMerge/>
            <w:vAlign w:val="center"/>
          </w:tcPr>
          <w:p w:rsidR="004E0AC9" w:rsidRPr="00C67904" w:rsidRDefault="004E0AC9" w:rsidP="00062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:rsidR="004E0AC9" w:rsidRPr="00C67904" w:rsidRDefault="004E0AC9" w:rsidP="00BB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04">
              <w:rPr>
                <w:rFonts w:ascii="Times New Roman" w:hAnsi="Times New Roman" w:cs="Times New Roman"/>
                <w:b/>
                <w:sz w:val="24"/>
                <w:szCs w:val="24"/>
              </w:rPr>
              <w:t>Partial attributable fraction</w:t>
            </w:r>
            <w:r w:rsidR="00BB590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960" w:type="dxa"/>
            <w:vAlign w:val="center"/>
          </w:tcPr>
          <w:p w:rsidR="004E0AC9" w:rsidRPr="00C67904" w:rsidRDefault="004E0AC9" w:rsidP="00BB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04">
              <w:rPr>
                <w:rFonts w:ascii="Times New Roman" w:hAnsi="Times New Roman" w:cs="Times New Roman"/>
                <w:b/>
                <w:sz w:val="24"/>
                <w:szCs w:val="24"/>
              </w:rPr>
              <w:t>Count applied to cost</w:t>
            </w:r>
            <w:r w:rsidR="00BB590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</w:p>
        </w:tc>
      </w:tr>
      <w:tr w:rsidR="004E0AC9" w:rsidRPr="00C67904" w:rsidTr="00062B82">
        <w:trPr>
          <w:trHeight w:val="440"/>
        </w:trPr>
        <w:tc>
          <w:tcPr>
            <w:tcW w:w="2515" w:type="dxa"/>
          </w:tcPr>
          <w:p w:rsidR="004E0AC9" w:rsidRPr="00963A20" w:rsidRDefault="004E0AC9" w:rsidP="0006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20">
              <w:rPr>
                <w:rFonts w:ascii="Times New Roman" w:hAnsi="Times New Roman" w:cs="Times New Roman"/>
                <w:sz w:val="24"/>
                <w:szCs w:val="24"/>
              </w:rPr>
              <w:t xml:space="preserve">Cost accrued during </w:t>
            </w:r>
          </w:p>
        </w:tc>
        <w:tc>
          <w:tcPr>
            <w:tcW w:w="3870" w:type="dxa"/>
          </w:tcPr>
          <w:p w:rsidR="004E0AC9" w:rsidRPr="00963A20" w:rsidRDefault="004E0AC9" w:rsidP="0006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20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3960" w:type="dxa"/>
          </w:tcPr>
          <w:p w:rsidR="004E0AC9" w:rsidRPr="00C67904" w:rsidRDefault="004E0AC9" w:rsidP="0006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F">
              <w:rPr>
                <w:rFonts w:ascii="Times New Roman" w:hAnsi="Times New Roman" w:cs="Times New Roman"/>
                <w:sz w:val="24"/>
                <w:szCs w:val="24"/>
              </w:rPr>
              <w:t>Lifetime</w:t>
            </w:r>
          </w:p>
        </w:tc>
      </w:tr>
      <w:tr w:rsidR="004E0AC9" w:rsidRPr="00C67904" w:rsidTr="00062B82">
        <w:tc>
          <w:tcPr>
            <w:tcW w:w="2515" w:type="dxa"/>
          </w:tcPr>
          <w:p w:rsidR="004E0AC9" w:rsidRPr="00963A20" w:rsidRDefault="004E0AC9" w:rsidP="0006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20">
              <w:rPr>
                <w:rFonts w:ascii="Times New Roman" w:hAnsi="Times New Roman" w:cs="Times New Roman"/>
                <w:sz w:val="24"/>
                <w:szCs w:val="24"/>
              </w:rPr>
              <w:t>Costs included</w:t>
            </w:r>
          </w:p>
          <w:p w:rsidR="004E0AC9" w:rsidRPr="00963A20" w:rsidRDefault="004E0AC9" w:rsidP="00062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4E0AC9" w:rsidRPr="00963A20" w:rsidRDefault="004E0AC9" w:rsidP="0006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20">
              <w:rPr>
                <w:rFonts w:ascii="Times New Roman" w:hAnsi="Times New Roman" w:cs="Times New Roman"/>
                <w:sz w:val="24"/>
                <w:szCs w:val="24"/>
              </w:rPr>
              <w:t xml:space="preserve">Includes total medical spending for older adult falls. </w:t>
            </w:r>
          </w:p>
          <w:p w:rsidR="004E0AC9" w:rsidRPr="009D74DF" w:rsidRDefault="004E0AC9" w:rsidP="00062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AC9" w:rsidRPr="00C67904" w:rsidRDefault="004E0AC9" w:rsidP="004E0AC9">
            <w:pPr>
              <w:pStyle w:val="ListParagraph"/>
              <w:numPr>
                <w:ilvl w:val="0"/>
                <w:numId w:val="1"/>
              </w:numPr>
              <w:spacing w:after="120"/>
              <w:ind w:left="317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904">
              <w:rPr>
                <w:rFonts w:ascii="Times New Roman" w:hAnsi="Times New Roman" w:cs="Times New Roman"/>
                <w:sz w:val="24"/>
                <w:szCs w:val="24"/>
              </w:rPr>
              <w:t>Medical services received (e.g. inpatient facility, ED</w:t>
            </w:r>
            <w:r w:rsidR="00BB590B" w:rsidRPr="00434D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§</w:t>
            </w:r>
            <w:r w:rsidRPr="00C67904">
              <w:rPr>
                <w:rFonts w:ascii="Times New Roman" w:hAnsi="Times New Roman" w:cs="Times New Roman"/>
                <w:sz w:val="24"/>
                <w:szCs w:val="24"/>
              </w:rPr>
              <w:t xml:space="preserve">, outpatient, occupational therapy, dental services, nursing homes); and </w:t>
            </w:r>
          </w:p>
          <w:p w:rsidR="004E0AC9" w:rsidRPr="00C67904" w:rsidRDefault="004E0AC9" w:rsidP="004E0AC9">
            <w:pPr>
              <w:pStyle w:val="ListParagraph"/>
              <w:numPr>
                <w:ilvl w:val="0"/>
                <w:numId w:val="1"/>
              </w:numPr>
              <w:spacing w:after="120"/>
              <w:ind w:left="317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904">
              <w:rPr>
                <w:rFonts w:ascii="Times New Roman" w:hAnsi="Times New Roman" w:cs="Times New Roman"/>
                <w:sz w:val="24"/>
                <w:szCs w:val="24"/>
              </w:rPr>
              <w:t xml:space="preserve">Other professional services such as prescriptions and durable medical equipment that are paid for by Medicaid, Medicare, or private insurance.  </w:t>
            </w:r>
          </w:p>
          <w:p w:rsidR="004E0AC9" w:rsidRPr="00C67904" w:rsidRDefault="004E0AC9" w:rsidP="00062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4E0AC9" w:rsidRPr="00C67904" w:rsidRDefault="004E0AC9" w:rsidP="0006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904">
              <w:rPr>
                <w:rFonts w:ascii="Times New Roman" w:hAnsi="Times New Roman" w:cs="Times New Roman"/>
                <w:sz w:val="24"/>
                <w:szCs w:val="24"/>
              </w:rPr>
              <w:t xml:space="preserve">Includes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spending for older adult fall injuries requiring </w:t>
            </w:r>
            <w:r w:rsidRPr="00C67904">
              <w:rPr>
                <w:rFonts w:ascii="Times New Roman" w:hAnsi="Times New Roman" w:cs="Times New Roman"/>
                <w:sz w:val="24"/>
                <w:szCs w:val="24"/>
              </w:rPr>
              <w:t>hospitalization and 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admission</w:t>
            </w:r>
            <w:r w:rsidRPr="00C679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E0AC9" w:rsidRPr="00C67904" w:rsidRDefault="004E0AC9" w:rsidP="00062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AC9" w:rsidRPr="00C67904" w:rsidRDefault="004E0AC9" w:rsidP="004E0AC9">
            <w:pPr>
              <w:pStyle w:val="ListParagraph"/>
              <w:numPr>
                <w:ilvl w:val="0"/>
                <w:numId w:val="2"/>
              </w:numPr>
              <w:spacing w:after="120"/>
              <w:ind w:left="288" w:hanging="286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904">
              <w:rPr>
                <w:rFonts w:ascii="Times New Roman" w:hAnsi="Times New Roman" w:cs="Times New Roman"/>
                <w:sz w:val="24"/>
                <w:szCs w:val="24"/>
              </w:rPr>
              <w:t xml:space="preserve">Costs associated with the initial hospitalizations or ED visit, and </w:t>
            </w:r>
          </w:p>
          <w:p w:rsidR="004E0AC9" w:rsidRPr="007E6E4E" w:rsidRDefault="004E0AC9" w:rsidP="004E0AC9">
            <w:pPr>
              <w:pStyle w:val="ListParagraph"/>
              <w:numPr>
                <w:ilvl w:val="0"/>
                <w:numId w:val="2"/>
              </w:numPr>
              <w:spacing w:after="120"/>
              <w:ind w:left="288" w:hanging="27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E4E">
              <w:rPr>
                <w:rFonts w:ascii="Times New Roman" w:hAnsi="Times New Roman" w:cs="Times New Roman"/>
                <w:sz w:val="24"/>
                <w:szCs w:val="24"/>
              </w:rPr>
              <w:t xml:space="preserve">All short to long-term follow up costs associated with the fall injury (e.g. readmissions, rehabilitation,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7E6E4E">
              <w:rPr>
                <w:rFonts w:ascii="Times New Roman" w:hAnsi="Times New Roman" w:cs="Times New Roman"/>
                <w:sz w:val="24"/>
                <w:szCs w:val="24"/>
              </w:rPr>
              <w:t>nursing homes</w:t>
            </w:r>
            <w:r w:rsidRPr="00963A2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E0AC9" w:rsidRPr="00C67904" w:rsidTr="00062B82">
        <w:trPr>
          <w:trHeight w:val="1952"/>
        </w:trPr>
        <w:tc>
          <w:tcPr>
            <w:tcW w:w="2515" w:type="dxa"/>
          </w:tcPr>
          <w:p w:rsidR="004E0AC9" w:rsidRPr="00963A20" w:rsidRDefault="004E0AC9" w:rsidP="0006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20">
              <w:rPr>
                <w:rFonts w:ascii="Times New Roman" w:hAnsi="Times New Roman" w:cs="Times New Roman"/>
                <w:sz w:val="24"/>
                <w:szCs w:val="24"/>
              </w:rPr>
              <w:t xml:space="preserve">Costs not included  </w:t>
            </w:r>
          </w:p>
        </w:tc>
        <w:tc>
          <w:tcPr>
            <w:tcW w:w="3870" w:type="dxa"/>
          </w:tcPr>
          <w:p w:rsidR="004E0AC9" w:rsidRPr="00963A20" w:rsidRDefault="004E0AC9" w:rsidP="0006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20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3A20">
              <w:rPr>
                <w:rFonts w:ascii="Times New Roman" w:hAnsi="Times New Roman" w:cs="Times New Roman"/>
                <w:sz w:val="24"/>
                <w:szCs w:val="24"/>
              </w:rPr>
              <w:t>term and lifetime costs accrued in subsequent years that may have occurred as a result of the fall (e.g. nursing home stays).</w:t>
            </w:r>
          </w:p>
        </w:tc>
        <w:tc>
          <w:tcPr>
            <w:tcW w:w="3960" w:type="dxa"/>
          </w:tcPr>
          <w:p w:rsidR="004E0AC9" w:rsidRPr="009D74DF" w:rsidRDefault="004E0AC9" w:rsidP="0006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20">
              <w:rPr>
                <w:rFonts w:ascii="Times New Roman" w:hAnsi="Times New Roman" w:cs="Times New Roman"/>
                <w:sz w:val="24"/>
                <w:szCs w:val="24"/>
              </w:rPr>
              <w:t xml:space="preserve">All medical services not received as part of hospitalization or ED admission including physician office visits, physical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occupational </w:t>
            </w:r>
            <w:r w:rsidRPr="00963A20">
              <w:rPr>
                <w:rFonts w:ascii="Times New Roman" w:hAnsi="Times New Roman" w:cs="Times New Roman"/>
                <w:sz w:val="24"/>
                <w:szCs w:val="24"/>
              </w:rPr>
              <w:t>ther</w:t>
            </w:r>
            <w:r w:rsidRPr="009D74DF">
              <w:rPr>
                <w:rFonts w:ascii="Times New Roman" w:hAnsi="Times New Roman" w:cs="Times New Roman"/>
                <w:sz w:val="24"/>
                <w:szCs w:val="24"/>
              </w:rPr>
              <w:t xml:space="preserve">apy, dental services, or prescriptions. </w:t>
            </w:r>
          </w:p>
          <w:p w:rsidR="004E0AC9" w:rsidRPr="00C67904" w:rsidRDefault="004E0AC9" w:rsidP="00062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AC9" w:rsidRPr="00C67904" w:rsidTr="00062B82">
        <w:trPr>
          <w:trHeight w:val="3338"/>
        </w:trPr>
        <w:tc>
          <w:tcPr>
            <w:tcW w:w="2515" w:type="dxa"/>
          </w:tcPr>
          <w:p w:rsidR="004E0AC9" w:rsidRPr="00963A20" w:rsidRDefault="004E0AC9" w:rsidP="0006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20">
              <w:rPr>
                <w:rFonts w:ascii="Times New Roman" w:hAnsi="Times New Roman" w:cs="Times New Roman"/>
                <w:sz w:val="24"/>
                <w:szCs w:val="24"/>
              </w:rPr>
              <w:t>Ideal 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63A2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870" w:type="dxa"/>
          </w:tcPr>
          <w:p w:rsidR="004E0AC9" w:rsidRPr="00963A20" w:rsidRDefault="004E0AC9" w:rsidP="004E0AC9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20">
              <w:rPr>
                <w:rFonts w:ascii="Times New Roman" w:hAnsi="Times New Roman" w:cs="Times New Roman"/>
                <w:sz w:val="24"/>
                <w:szCs w:val="24"/>
              </w:rPr>
              <w:t>Calculate state specific costs (data available for all states); and</w:t>
            </w:r>
          </w:p>
          <w:p w:rsidR="004E0AC9" w:rsidRPr="00963A20" w:rsidRDefault="004E0AC9" w:rsidP="004E0AC9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F">
              <w:rPr>
                <w:rFonts w:ascii="Times New Roman" w:hAnsi="Times New Roman" w:cs="Times New Roman"/>
                <w:sz w:val="24"/>
                <w:szCs w:val="24"/>
              </w:rPr>
              <w:t>Estimate payer specific costs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state</w:t>
            </w:r>
            <w:r w:rsidRPr="009D74DF">
              <w:rPr>
                <w:rFonts w:ascii="Times New Roman" w:hAnsi="Times New Roman" w:cs="Times New Roman"/>
                <w:sz w:val="24"/>
                <w:szCs w:val="24"/>
              </w:rPr>
              <w:t xml:space="preserve"> (important for state-based planning of government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74DF">
              <w:rPr>
                <w:rFonts w:ascii="Times New Roman" w:hAnsi="Times New Roman" w:cs="Times New Roman"/>
                <w:sz w:val="24"/>
                <w:szCs w:val="24"/>
              </w:rPr>
              <w:t>funded programs)</w:t>
            </w:r>
            <w:r w:rsidRPr="00C67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6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4E0AC9" w:rsidRPr="00963A20" w:rsidRDefault="004E0AC9" w:rsidP="004E0AC9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20">
              <w:rPr>
                <w:rFonts w:ascii="Times New Roman" w:hAnsi="Times New Roman" w:cs="Times New Roman"/>
                <w:sz w:val="24"/>
                <w:szCs w:val="24"/>
              </w:rPr>
              <w:t>Calculate state specific costs (data available for select states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count data</w:t>
            </w:r>
            <w:r w:rsidRPr="00963A20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4E0AC9" w:rsidRPr="00963A20" w:rsidRDefault="004E0AC9" w:rsidP="004E0AC9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F">
              <w:rPr>
                <w:rFonts w:ascii="Times New Roman" w:hAnsi="Times New Roman" w:cs="Times New Roman"/>
                <w:sz w:val="24"/>
                <w:szCs w:val="24"/>
              </w:rPr>
              <w:t xml:space="preserve">States can use their own count data on the number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fall-related</w:t>
            </w:r>
            <w:r w:rsidRPr="009D74DF">
              <w:rPr>
                <w:rFonts w:ascii="Times New Roman" w:hAnsi="Times New Roman" w:cs="Times New Roman"/>
                <w:sz w:val="24"/>
                <w:szCs w:val="24"/>
              </w:rPr>
              <w:t xml:space="preserve"> hospitalizations and ED visits to calculate cost at the state, county or facility level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and</w:t>
            </w:r>
          </w:p>
          <w:p w:rsidR="004E0AC9" w:rsidRPr="00963A20" w:rsidRDefault="004E0AC9" w:rsidP="004E0AC9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F">
              <w:rPr>
                <w:rFonts w:ascii="Times New Roman" w:hAnsi="Times New Roman" w:cs="Times New Roman"/>
                <w:sz w:val="24"/>
                <w:szCs w:val="24"/>
              </w:rPr>
              <w:t>Use of the state’s own count data allows for impro</w:t>
            </w:r>
            <w:r w:rsidRPr="00C67904">
              <w:rPr>
                <w:rFonts w:ascii="Times New Roman" w:hAnsi="Times New Roman" w:cs="Times New Roman"/>
                <w:sz w:val="24"/>
                <w:szCs w:val="24"/>
              </w:rPr>
              <w:t>ved tracking of costs over time.</w:t>
            </w:r>
          </w:p>
        </w:tc>
      </w:tr>
    </w:tbl>
    <w:p w:rsidR="004E0AC9" w:rsidRPr="007E6E4E" w:rsidRDefault="00BB590B" w:rsidP="004E0AC9">
      <w:pPr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  <w:vertAlign w:val="superscript"/>
        </w:rPr>
        <w:t xml:space="preserve">* </w:t>
      </w:r>
      <w:r w:rsidRPr="00BB590B">
        <w:rPr>
          <w:rFonts w:ascii="Times New Roman" w:hAnsi="Times New Roman" w:cs="Times New Roman"/>
          <w:i/>
          <w:sz w:val="18"/>
          <w:szCs w:val="24"/>
        </w:rPr>
        <w:t>Partial</w:t>
      </w:r>
      <w:r w:rsidR="004E0AC9" w:rsidRPr="00BB590B">
        <w:rPr>
          <w:rFonts w:ascii="Times New Roman" w:hAnsi="Times New Roman" w:cs="Times New Roman"/>
          <w:i/>
          <w:sz w:val="18"/>
          <w:szCs w:val="24"/>
        </w:rPr>
        <w:t xml:space="preserve"> attributable fraction</w:t>
      </w:r>
      <w:r w:rsidR="004E0AC9" w:rsidRPr="007E6E4E">
        <w:rPr>
          <w:rFonts w:ascii="Times New Roman" w:hAnsi="Times New Roman" w:cs="Times New Roman"/>
          <w:sz w:val="18"/>
          <w:szCs w:val="24"/>
        </w:rPr>
        <w:t xml:space="preserve"> uses nonlinear models to estimate expenditure by payer and service category (</w:t>
      </w:r>
      <w:r w:rsidR="008A5767" w:rsidRPr="008A5767">
        <w:rPr>
          <w:rFonts w:ascii="Times New Roman" w:hAnsi="Times New Roman" w:cs="Times New Roman"/>
          <w:sz w:val="18"/>
          <w:szCs w:val="24"/>
        </w:rPr>
        <w:t>Florence CS et al. The Medical Costs of Fall Injuries among Older Adults. Journal of the American Geriatrics Society. 2018. (In review)</w:t>
      </w:r>
      <w:r w:rsidR="004E0AC9" w:rsidRPr="007E6E4E">
        <w:rPr>
          <w:rFonts w:ascii="Times New Roman" w:hAnsi="Times New Roman" w:cs="Times New Roman"/>
          <w:sz w:val="18"/>
          <w:szCs w:val="24"/>
        </w:rPr>
        <w:t xml:space="preserve">). </w:t>
      </w:r>
      <w:r w:rsidR="004E0AC9" w:rsidRPr="007E6E4E">
        <w:rPr>
          <w:rFonts w:ascii="Times New Roman" w:hAnsi="Times New Roman" w:cs="Times New Roman"/>
          <w:sz w:val="18"/>
          <w:szCs w:val="24"/>
        </w:rPr>
        <w:br/>
      </w:r>
      <w:r>
        <w:rPr>
          <w:rFonts w:ascii="Times New Roman" w:hAnsi="Times New Roman" w:cs="Times New Roman"/>
          <w:sz w:val="18"/>
          <w:szCs w:val="24"/>
          <w:vertAlign w:val="superscript"/>
        </w:rPr>
        <w:t xml:space="preserve">+ </w:t>
      </w:r>
      <w:r w:rsidR="004E0AC9" w:rsidRPr="00BB590B">
        <w:rPr>
          <w:rFonts w:ascii="Times New Roman" w:hAnsi="Times New Roman" w:cs="Times New Roman"/>
          <w:i/>
          <w:sz w:val="18"/>
          <w:szCs w:val="24"/>
        </w:rPr>
        <w:t>Count applied to cost</w:t>
      </w:r>
      <w:r w:rsidR="004E0AC9" w:rsidRPr="007E6E4E">
        <w:rPr>
          <w:rFonts w:ascii="Times New Roman" w:hAnsi="Times New Roman" w:cs="Times New Roman"/>
          <w:sz w:val="18"/>
          <w:szCs w:val="24"/>
        </w:rPr>
        <w:t xml:space="preserve"> uses </w:t>
      </w:r>
      <w:r w:rsidR="004E0AC9" w:rsidRPr="007E6E4E">
        <w:rPr>
          <w:rFonts w:ascii="Times New Roman" w:eastAsia="SimSun" w:hAnsi="Times New Roman" w:cs="Times New Roman"/>
          <w:kern w:val="2"/>
          <w:sz w:val="18"/>
          <w:szCs w:val="24"/>
          <w:lang w:eastAsia="zh-CN"/>
        </w:rPr>
        <w:t xml:space="preserve">Web-based Injury Statistics Query and Reporting System (WISQARS) cost of injury reports to estimate total lifetime costs of fall injury requiring hospitalization or </w:t>
      </w:r>
      <w:r w:rsidR="001B6C0C">
        <w:rPr>
          <w:rFonts w:ascii="Times New Roman" w:eastAsia="SimSun" w:hAnsi="Times New Roman" w:cs="Times New Roman"/>
          <w:kern w:val="2"/>
          <w:sz w:val="18"/>
          <w:szCs w:val="24"/>
          <w:lang w:eastAsia="zh-CN"/>
        </w:rPr>
        <w:t>Emergency Department</w:t>
      </w:r>
      <w:r w:rsidR="004E0AC9" w:rsidRPr="007E6E4E">
        <w:rPr>
          <w:rFonts w:ascii="Times New Roman" w:eastAsia="SimSun" w:hAnsi="Times New Roman" w:cs="Times New Roman"/>
          <w:kern w:val="2"/>
          <w:sz w:val="18"/>
          <w:szCs w:val="24"/>
          <w:lang w:eastAsia="zh-CN"/>
        </w:rPr>
        <w:t xml:space="preserve"> visit</w:t>
      </w:r>
      <w:r w:rsidR="001B6C0C">
        <w:rPr>
          <w:rFonts w:ascii="Times New Roman" w:eastAsia="SimSun" w:hAnsi="Times New Roman" w:cs="Times New Roman"/>
          <w:kern w:val="2"/>
          <w:sz w:val="18"/>
          <w:szCs w:val="24"/>
          <w:lang w:eastAsia="zh-CN"/>
        </w:rPr>
        <w:t>s</w:t>
      </w:r>
      <w:r w:rsidR="004E0AC9" w:rsidRPr="007E6E4E">
        <w:rPr>
          <w:rFonts w:ascii="Times New Roman" w:eastAsia="SimSun" w:hAnsi="Times New Roman" w:cs="Times New Roman"/>
          <w:kern w:val="2"/>
          <w:sz w:val="18"/>
          <w:szCs w:val="24"/>
          <w:lang w:eastAsia="zh-CN"/>
        </w:rPr>
        <w:t xml:space="preserve"> (Lawrence BA, Miller TR. 2014</w:t>
      </w:r>
      <w:r w:rsidR="001B6C0C">
        <w:rPr>
          <w:rFonts w:ascii="Times New Roman" w:eastAsia="SimSun" w:hAnsi="Times New Roman" w:cs="Times New Roman"/>
          <w:kern w:val="2"/>
          <w:sz w:val="18"/>
          <w:szCs w:val="24"/>
          <w:lang w:eastAsia="zh-CN"/>
        </w:rPr>
        <w:t xml:space="preserve">. </w:t>
      </w:r>
      <w:r w:rsidR="001B6C0C" w:rsidRPr="001B6C0C">
        <w:rPr>
          <w:rFonts w:ascii="Times New Roman" w:eastAsia="SimSun" w:hAnsi="Times New Roman" w:cs="Times New Roman"/>
          <w:kern w:val="2"/>
          <w:sz w:val="18"/>
          <w:szCs w:val="24"/>
          <w:lang w:eastAsia="zh-CN"/>
        </w:rPr>
        <w:t>Medical and Work Loss Cost Estimation Methods for the WIS</w:t>
      </w:r>
      <w:r w:rsidR="001B6C0C">
        <w:rPr>
          <w:rFonts w:ascii="Times New Roman" w:eastAsia="SimSun" w:hAnsi="Times New Roman" w:cs="Times New Roman"/>
          <w:kern w:val="2"/>
          <w:sz w:val="18"/>
          <w:szCs w:val="24"/>
          <w:lang w:eastAsia="zh-CN"/>
        </w:rPr>
        <w:t>QARS Cost of Injury Module</w:t>
      </w:r>
      <w:r w:rsidR="004E0AC9" w:rsidRPr="007E6E4E">
        <w:rPr>
          <w:rFonts w:ascii="Times New Roman" w:eastAsia="SimSun" w:hAnsi="Times New Roman" w:cs="Times New Roman"/>
          <w:kern w:val="2"/>
          <w:sz w:val="18"/>
          <w:szCs w:val="24"/>
          <w:lang w:eastAsia="zh-CN"/>
        </w:rPr>
        <w:t>)</w:t>
      </w:r>
      <w:r w:rsidR="004E0AC9" w:rsidRPr="007E6E4E">
        <w:rPr>
          <w:sz w:val="20"/>
        </w:rPr>
        <w:t>.</w:t>
      </w:r>
      <w:r w:rsidR="004E0AC9" w:rsidRPr="007E6E4E">
        <w:rPr>
          <w:sz w:val="20"/>
        </w:rPr>
        <w:br/>
      </w:r>
      <w:r w:rsidRPr="00434D0D">
        <w:rPr>
          <w:rFonts w:ascii="Times New Roman" w:hAnsi="Times New Roman" w:cs="Times New Roman"/>
          <w:sz w:val="24"/>
          <w:szCs w:val="24"/>
          <w:vertAlign w:val="superscript"/>
        </w:rPr>
        <w:t>§</w:t>
      </w:r>
      <w:r w:rsidR="004E0AC9" w:rsidRPr="007E6E4E">
        <w:rPr>
          <w:rFonts w:ascii="Times New Roman" w:hAnsi="Times New Roman" w:cs="Times New Roman"/>
          <w:sz w:val="18"/>
          <w:szCs w:val="24"/>
        </w:rPr>
        <w:t>ED= Emergency Department</w:t>
      </w:r>
      <w:r w:rsidR="001B6C0C">
        <w:rPr>
          <w:rFonts w:ascii="Times New Roman" w:hAnsi="Times New Roman" w:cs="Times New Roman"/>
          <w:sz w:val="18"/>
          <w:szCs w:val="24"/>
        </w:rPr>
        <w:t>.</w:t>
      </w:r>
    </w:p>
    <w:p w:rsidR="00FC70C6" w:rsidRDefault="00FC70C6"/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0D54"/>
    <w:multiLevelType w:val="hybridMultilevel"/>
    <w:tmpl w:val="F2FA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A3F72"/>
    <w:multiLevelType w:val="hybridMultilevel"/>
    <w:tmpl w:val="747053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4A64F3"/>
    <w:multiLevelType w:val="hybridMultilevel"/>
    <w:tmpl w:val="7CE6F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C9"/>
    <w:rsid w:val="001B6C0C"/>
    <w:rsid w:val="004E0AC9"/>
    <w:rsid w:val="008A5767"/>
    <w:rsid w:val="00BB590B"/>
    <w:rsid w:val="00CD6F0E"/>
    <w:rsid w:val="00D26908"/>
    <w:rsid w:val="00EF34A4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2F244"/>
  <w15:chartTrackingRefBased/>
  <w15:docId w15:val="{8A1D9CE8-9571-4006-B12C-3275FA3A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AC9"/>
    <w:pPr>
      <w:ind w:left="720"/>
      <w:contextualSpacing/>
    </w:pPr>
  </w:style>
  <w:style w:type="table" w:styleId="TableGrid">
    <w:name w:val="Table Grid"/>
    <w:basedOn w:val="TableNormal"/>
    <w:uiPriority w:val="39"/>
    <w:rsid w:val="004E0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E0AC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Haddad, Yara (CDC/ONDIEH/NCIPC)</dc:creator>
  <cp:keywords/>
  <dc:description/>
  <cp:lastModifiedBy>Haddad, Yara (CDC/ONDIEH/NCIPC)</cp:lastModifiedBy>
  <cp:revision>3</cp:revision>
  <dcterms:created xsi:type="dcterms:W3CDTF">2018-03-01T02:11:00Z</dcterms:created>
  <dcterms:modified xsi:type="dcterms:W3CDTF">2018-03-01T02:45:00Z</dcterms:modified>
</cp:coreProperties>
</file>