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8D" w:rsidRDefault="00D5118D">
      <w:pPr>
        <w:rPr>
          <w:rFonts w:ascii="Times New Roman" w:hAnsi="Times New Roman" w:cs="Times New Roman"/>
          <w:sz w:val="24"/>
          <w:szCs w:val="24"/>
        </w:rPr>
      </w:pPr>
    </w:p>
    <w:p w:rsidR="00D5118D" w:rsidRDefault="00D5118D" w:rsidP="00D51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broader autism phenotype in mothers is associated with increased </w:t>
      </w:r>
      <w:r w:rsidRPr="00766CD6">
        <w:rPr>
          <w:rFonts w:ascii="Times New Roman" w:hAnsi="Times New Roman" w:cs="Times New Roman"/>
          <w:sz w:val="24"/>
          <w:szCs w:val="24"/>
        </w:rPr>
        <w:t>discorda</w:t>
      </w:r>
      <w:r>
        <w:rPr>
          <w:rFonts w:ascii="Times New Roman" w:hAnsi="Times New Roman" w:cs="Times New Roman"/>
          <w:sz w:val="24"/>
          <w:szCs w:val="24"/>
        </w:rPr>
        <w:t>nce between maternal-reported and</w:t>
      </w:r>
      <w:r w:rsidRPr="00766CD6">
        <w:rPr>
          <w:rFonts w:ascii="Times New Roman" w:hAnsi="Times New Roman" w:cs="Times New Roman"/>
          <w:sz w:val="24"/>
          <w:szCs w:val="24"/>
        </w:rPr>
        <w:t xml:space="preserve"> clinician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6CD6">
        <w:rPr>
          <w:rFonts w:ascii="Times New Roman" w:hAnsi="Times New Roman" w:cs="Times New Roman"/>
          <w:sz w:val="24"/>
          <w:szCs w:val="24"/>
        </w:rPr>
        <w:t>observ</w:t>
      </w:r>
      <w:r>
        <w:rPr>
          <w:rFonts w:ascii="Times New Roman" w:hAnsi="Times New Roman" w:cs="Times New Roman"/>
          <w:sz w:val="24"/>
          <w:szCs w:val="24"/>
        </w:rPr>
        <w:t xml:space="preserve">ed instruments that measure child autism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spectrum disorder </w:t>
      </w:r>
    </w:p>
    <w:bookmarkEnd w:id="0"/>
    <w:p w:rsidR="00D5118D" w:rsidRDefault="00D5118D" w:rsidP="00D51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18D" w:rsidRPr="00766CD6" w:rsidRDefault="00D5118D" w:rsidP="00D51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Autism and Developmental Disabilities</w:t>
      </w: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Eric Rubenstein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Rebecca Edmonson-Pretzel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Gayle Windham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Laura Schieve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Lisa Wiggins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 xml:space="preserve">Carolyn </w:t>
      </w:r>
      <w:proofErr w:type="spellStart"/>
      <w:r w:rsidRPr="00766CD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66CD6">
        <w:rPr>
          <w:rFonts w:ascii="Times New Roman" w:hAnsi="Times New Roman" w:cs="Times New Roman"/>
          <w:sz w:val="24"/>
          <w:szCs w:val="24"/>
        </w:rPr>
        <w:t>uiseppi</w:t>
      </w:r>
      <w:proofErr w:type="spellEnd"/>
      <w:r w:rsidRPr="00766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Andrew Olshan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Annie Howard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Brian Pence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Lisa Young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D5118D" w:rsidRPr="00D055DE" w:rsidRDefault="00D5118D" w:rsidP="00D5118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66CD6">
        <w:rPr>
          <w:rFonts w:ascii="Times New Roman" w:hAnsi="Times New Roman" w:cs="Times New Roman"/>
          <w:sz w:val="24"/>
          <w:szCs w:val="24"/>
        </w:rPr>
        <w:t>Julie Daniels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5118D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4C076B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76B">
        <w:rPr>
          <w:rFonts w:ascii="Times New Roman" w:hAnsi="Times New Roman" w:cs="Times New Roman"/>
          <w:sz w:val="24"/>
          <w:szCs w:val="24"/>
        </w:rPr>
        <w:t xml:space="preserve">University of North Carolina </w:t>
      </w:r>
      <w:proofErr w:type="spellStart"/>
      <w:r w:rsidRPr="004C076B">
        <w:rPr>
          <w:rFonts w:ascii="Times New Roman" w:hAnsi="Times New Roman" w:cs="Times New Roman"/>
          <w:sz w:val="24"/>
          <w:szCs w:val="24"/>
        </w:rPr>
        <w:t>Gillings</w:t>
      </w:r>
      <w:proofErr w:type="spellEnd"/>
      <w:r w:rsidRPr="004C076B">
        <w:rPr>
          <w:rFonts w:ascii="Times New Roman" w:hAnsi="Times New Roman" w:cs="Times New Roman"/>
          <w:sz w:val="24"/>
          <w:szCs w:val="24"/>
        </w:rPr>
        <w:t xml:space="preserve"> School of Global Public Health</w:t>
      </w:r>
    </w:p>
    <w:p w:rsidR="00D5118D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North Carolina Center for Intellectual and Developmental Disabilities</w:t>
      </w:r>
    </w:p>
    <w:p w:rsidR="00D5118D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Department of Public Health </w:t>
      </w:r>
    </w:p>
    <w:p w:rsidR="00D5118D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Centers for Disease Control and Prevention</w:t>
      </w:r>
    </w:p>
    <w:p w:rsidR="00D5118D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School of Public Health</w:t>
      </w:r>
    </w:p>
    <w:p w:rsidR="00D5118D" w:rsidRPr="00D055DE" w:rsidRDefault="00D5118D" w:rsidP="00D511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Hospital of Pennsylvania</w:t>
      </w:r>
    </w:p>
    <w:p w:rsidR="00D5118D" w:rsidRDefault="00D5118D">
      <w:pPr>
        <w:rPr>
          <w:rFonts w:ascii="Times New Roman" w:hAnsi="Times New Roman" w:cs="Times New Roman"/>
          <w:sz w:val="24"/>
          <w:szCs w:val="24"/>
        </w:rPr>
      </w:pPr>
    </w:p>
    <w:p w:rsidR="00D5118D" w:rsidRDefault="00D5118D">
      <w:pPr>
        <w:rPr>
          <w:rFonts w:ascii="Times New Roman" w:hAnsi="Times New Roman" w:cs="Times New Roman"/>
          <w:sz w:val="24"/>
          <w:szCs w:val="24"/>
        </w:rPr>
        <w:sectPr w:rsidR="00D5118D" w:rsidSect="00D511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Corresponding author contact: Eric Rubenstein, erubens@live.unc.edu</w:t>
      </w:r>
    </w:p>
    <w:p w:rsidR="00D5118D" w:rsidRDefault="00D5118D">
      <w:pPr>
        <w:rPr>
          <w:rFonts w:ascii="Times New Roman" w:hAnsi="Times New Roman" w:cs="Times New Roman"/>
          <w:sz w:val="24"/>
          <w:szCs w:val="24"/>
        </w:rPr>
      </w:pPr>
      <w:r w:rsidRPr="00766CD6">
        <w:rPr>
          <w:rFonts w:ascii="Times New Roman" w:hAnsi="Times New Roman" w:cs="Times New Roman"/>
          <w:sz w:val="24"/>
          <w:szCs w:val="24"/>
        </w:rPr>
        <w:lastRenderedPageBreak/>
        <w:t>Supplement 1. Description of measures used to evaluate child autism spectrum disorder in the Study to Explore Early Development</w:t>
      </w:r>
      <w:r>
        <w:rPr>
          <w:rFonts w:ascii="Times New Roman" w:hAnsi="Times New Roman" w:cs="Times New Roman"/>
          <w:sz w:val="24"/>
          <w:szCs w:val="24"/>
        </w:rPr>
        <w:t xml:space="preserve"> (SEED)</w:t>
      </w:r>
    </w:p>
    <w:tbl>
      <w:tblPr>
        <w:tblStyle w:val="TableGrid"/>
        <w:tblpPr w:leftFromText="180" w:rightFromText="180" w:vertAnchor="page" w:horzAnchor="page" w:tblpX="1369" w:tblpY="2521"/>
        <w:tblW w:w="12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119"/>
        <w:gridCol w:w="1668"/>
        <w:gridCol w:w="2923"/>
        <w:gridCol w:w="3512"/>
      </w:tblGrid>
      <w:tr w:rsidR="00D5118D" w:rsidRPr="00766CD6" w:rsidTr="00336486">
        <w:trPr>
          <w:trHeight w:val="350"/>
        </w:trPr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b/>
                <w:sz w:val="24"/>
                <w:szCs w:val="24"/>
              </w:rPr>
              <w:t>Instrument Type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Respondent 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b/>
                <w:sz w:val="24"/>
                <w:szCs w:val="24"/>
              </w:rPr>
              <w:t>Length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D5118D" w:rsidRPr="00766CD6" w:rsidTr="00336486">
        <w:trPr>
          <w:trHeight w:val="1340"/>
        </w:trPr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Social Communication Questionnaire (SCQ)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Screening questionnaire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 xml:space="preserve">Mother 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40 yes or no questions that take approximately 15 minutes to complete</w:t>
            </w: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SEED staff administered the questionnaire about a child’s behavior and development over the phone during study enrollment call</w:t>
            </w:r>
          </w:p>
        </w:tc>
      </w:tr>
      <w:tr w:rsidR="00D5118D" w:rsidRPr="00766CD6" w:rsidTr="00336486">
        <w:trPr>
          <w:trHeight w:val="350"/>
        </w:trPr>
        <w:tc>
          <w:tcPr>
            <w:tcW w:w="2669" w:type="dxa"/>
            <w:vAlign w:val="center"/>
          </w:tcPr>
          <w:p w:rsidR="00D5118D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Autism Diagnostic Interview-</w:t>
            </w: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Revised (ADI-R)</w:t>
            </w:r>
          </w:p>
        </w:tc>
        <w:tc>
          <w:tcPr>
            <w:tcW w:w="2119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668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</w:tc>
        <w:tc>
          <w:tcPr>
            <w:tcW w:w="2923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93 items that take approximately 150 minutes to complete</w:t>
            </w:r>
          </w:p>
        </w:tc>
        <w:tc>
          <w:tcPr>
            <w:tcW w:w="3512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Structured interview about child’s past and current behavior and development that is led by a SEED clinician either at the mother’s home, SEED clinic, or over the phone</w:t>
            </w:r>
          </w:p>
        </w:tc>
      </w:tr>
      <w:tr w:rsidR="00D5118D" w:rsidRPr="00766CD6" w:rsidTr="00336486">
        <w:trPr>
          <w:trHeight w:val="350"/>
        </w:trPr>
        <w:tc>
          <w:tcPr>
            <w:tcW w:w="2669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Autism Diagnostic Observation Schedule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(ADOS)</w:t>
            </w: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1668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Clinician</w:t>
            </w:r>
          </w:p>
        </w:tc>
        <w:tc>
          <w:tcPr>
            <w:tcW w:w="2923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40 minute observation and interaction period</w:t>
            </w:r>
          </w:p>
        </w:tc>
        <w:tc>
          <w:tcPr>
            <w:tcW w:w="3512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SEED clinician interacts and observes the child at the child’s home or SEED clinic. Different modules are administered based on child’s age and verbal language ability</w:t>
            </w:r>
          </w:p>
        </w:tc>
      </w:tr>
      <w:tr w:rsidR="00D5118D" w:rsidRPr="00766CD6" w:rsidTr="00336486">
        <w:trPr>
          <w:trHeight w:val="114"/>
        </w:trPr>
        <w:tc>
          <w:tcPr>
            <w:tcW w:w="2669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The Ohio State University Autism Rating Scale (OARS)</w:t>
            </w:r>
          </w:p>
        </w:tc>
        <w:tc>
          <w:tcPr>
            <w:tcW w:w="2119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Synthesis of available data</w:t>
            </w:r>
          </w:p>
        </w:tc>
        <w:tc>
          <w:tcPr>
            <w:tcW w:w="1668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Clinician</w:t>
            </w:r>
          </w:p>
        </w:tc>
        <w:tc>
          <w:tcPr>
            <w:tcW w:w="2923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Clinician completed Likert scale of certainty that the child has ASD, completed after all other data are collected</w:t>
            </w:r>
          </w:p>
        </w:tc>
        <w:tc>
          <w:tcPr>
            <w:tcW w:w="3512" w:type="dxa"/>
            <w:vAlign w:val="center"/>
          </w:tcPr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8D" w:rsidRPr="00766CD6" w:rsidRDefault="00D5118D" w:rsidP="00336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D6">
              <w:rPr>
                <w:rFonts w:ascii="Times New Roman" w:hAnsi="Times New Roman" w:cs="Times New Roman"/>
                <w:sz w:val="24"/>
                <w:szCs w:val="24"/>
              </w:rPr>
              <w:t>SEED clinician or team of clinicians used all available data, specifically from the ADI-R and ADOS to give best clinical impression of whether the child has ASD</w:t>
            </w:r>
          </w:p>
        </w:tc>
      </w:tr>
    </w:tbl>
    <w:p w:rsidR="00D5118D" w:rsidRDefault="00D5118D">
      <w:pPr>
        <w:rPr>
          <w:rFonts w:ascii="Times New Roman" w:hAnsi="Times New Roman" w:cs="Times New Roman"/>
          <w:sz w:val="24"/>
          <w:szCs w:val="24"/>
        </w:rPr>
        <w:sectPr w:rsidR="00D5118D" w:rsidSect="00D5118D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r w:rsidRPr="00766CD6">
        <w:rPr>
          <w:rFonts w:ascii="Times New Roman" w:hAnsi="Times New Roman" w:cs="Times New Roman"/>
          <w:sz w:val="24"/>
          <w:szCs w:val="24"/>
        </w:rPr>
        <w:t xml:space="preserve">Supplement 2. </w:t>
      </w:r>
      <w:r w:rsidRPr="00766CD6">
        <w:rPr>
          <w:rFonts w:ascii="Times New Roman" w:hAnsi="Times New Roman" w:cs="Times New Roman"/>
          <w:color w:val="000000"/>
          <w:sz w:val="24"/>
          <w:szCs w:val="24"/>
        </w:rPr>
        <w:t>Overall estimates comparing discordance between maternal and clinician ratings on child autism spectrum disorder screening and evaluation instruments in the Study to Explore Early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(SEED)</w:t>
      </w:r>
      <w:r w:rsidRPr="00766CD6">
        <w:rPr>
          <w:rFonts w:ascii="Times New Roman" w:hAnsi="Times New Roman" w:cs="Times New Roman"/>
          <w:color w:val="000000"/>
          <w:sz w:val="24"/>
          <w:szCs w:val="24"/>
        </w:rPr>
        <w:t>, by maternal broader autism phenotype status, weighted to account for missing Social Responsiveness Scale-adult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733"/>
        <w:gridCol w:w="1356"/>
        <w:gridCol w:w="783"/>
        <w:gridCol w:w="1449"/>
        <w:gridCol w:w="738"/>
        <w:gridCol w:w="1211"/>
        <w:gridCol w:w="1023"/>
        <w:gridCol w:w="1176"/>
      </w:tblGrid>
      <w:tr w:rsidR="00D5118D" w:rsidRPr="00766CD6" w:rsidTr="00336486">
        <w:trPr>
          <w:trHeight w:val="36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SCQ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ADI-R</w:t>
            </w:r>
          </w:p>
        </w:tc>
      </w:tr>
      <w:tr w:rsidR="00D5118D" w:rsidRPr="00766CD6" w:rsidTr="00336486">
        <w:trPr>
          <w:trHeight w:val="39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CB023C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‘Over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-reporting</w:t>
            </w: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CB023C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‘Under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-reporting</w:t>
            </w: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‘Over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-reporting</w:t>
            </w: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‘Under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-reporting</w:t>
            </w: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’</w:t>
            </w:r>
          </w:p>
        </w:tc>
      </w:tr>
      <w:tr w:rsidR="00D5118D" w:rsidRPr="00766CD6" w:rsidTr="00336486">
        <w:trPr>
          <w:trHeight w:val="39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</w:tr>
      <w:tr w:rsidR="00D5118D" w:rsidRPr="00766CD6" w:rsidTr="00336486">
        <w:trPr>
          <w:trHeight w:val="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Weighted </w:t>
            </w:r>
          </w:p>
        </w:tc>
      </w:tr>
      <w:tr w:rsidR="00D5118D" w:rsidRPr="00766CD6" w:rsidTr="00336486">
        <w:trPr>
          <w:trHeight w:val="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1.02, 2.17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0.27, 1.91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1.20, 5.54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0.51, 1.72</w:t>
            </w:r>
          </w:p>
        </w:tc>
      </w:tr>
      <w:tr w:rsidR="00D5118D" w:rsidRPr="00766CD6" w:rsidTr="00336486">
        <w:trPr>
          <w:trHeight w:val="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0.94, 1.75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0.20, 1.97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0.91, 2.82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0.50, 1.98</w:t>
            </w:r>
          </w:p>
        </w:tc>
      </w:tr>
      <w:tr w:rsidR="00D5118D" w:rsidRPr="00766CD6" w:rsidTr="00336486">
        <w:trPr>
          <w:trHeight w:val="1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Unweighted</w:t>
            </w:r>
            <w:proofErr w:type="spellEnd"/>
          </w:p>
        </w:tc>
      </w:tr>
      <w:tr w:rsidR="00D5118D" w:rsidRPr="00766CD6" w:rsidTr="00336486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1.07, 2.25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0.26, 1.76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1.35, 6.03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0.47, 1.53</w:t>
            </w:r>
          </w:p>
        </w:tc>
      </w:tr>
      <w:tr w:rsidR="00D5118D" w:rsidRPr="00766CD6" w:rsidTr="00336486">
        <w:trPr>
          <w:trHeight w:val="1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0.95, 1.77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0.20, 1.82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0.96, 2.92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0.46, 1.81</w:t>
            </w:r>
          </w:p>
        </w:tc>
      </w:tr>
      <w:tr w:rsidR="00D5118D" w:rsidRPr="00766CD6" w:rsidTr="0033648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Difference</w:t>
            </w:r>
          </w:p>
        </w:tc>
      </w:tr>
      <w:tr w:rsidR="00D5118D" w:rsidRPr="00766CD6" w:rsidTr="00336486">
        <w:trPr>
          <w:trHeight w:val="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18D" w:rsidRPr="00766CD6" w:rsidTr="00336486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r w:rsidRPr="00766CD6">
        <w:rPr>
          <w:rFonts w:ascii="Times New Roman" w:hAnsi="Times New Roman" w:cs="Times New Roman"/>
          <w:sz w:val="24"/>
          <w:szCs w:val="24"/>
        </w:rPr>
        <w:t xml:space="preserve">Weighted by maternal race, maternal education, and study site. </w:t>
      </w:r>
    </w:p>
    <w:p w:rsidR="00D5118D" w:rsidRDefault="00D5118D" w:rsidP="00D511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RR: risk ratio;</w:t>
      </w:r>
    </w:p>
    <w:p w:rsidR="00D5118D" w:rsidRPr="00766CD6" w:rsidRDefault="00D5118D" w:rsidP="00D511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hAnsi="Times New Roman" w:cs="Times New Roman"/>
          <w:color w:val="000000"/>
          <w:sz w:val="24"/>
          <w:szCs w:val="24"/>
        </w:rPr>
        <w:t xml:space="preserve">CI: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66CD6">
        <w:rPr>
          <w:rFonts w:ascii="Times New Roman" w:hAnsi="Times New Roman" w:cs="Times New Roman"/>
          <w:color w:val="000000"/>
          <w:sz w:val="24"/>
          <w:szCs w:val="24"/>
        </w:rPr>
        <w:t>onfidence interv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SCQ: Social Communication Questionnaire;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ADI-R: Autism Diagnostic Interview-Revised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ADOS: Autism Diagnostic Observation Schedule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OARS: The Ohio State University Autism Rating Scale;</w:t>
      </w: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‘Over-</w:t>
      </w:r>
      <w:r w:rsidRPr="00766CD6">
        <w:rPr>
          <w:rFonts w:ascii="Times New Roman" w:hAnsi="Times New Roman" w:cs="Times New Roman"/>
          <w:sz w:val="24"/>
          <w:szCs w:val="24"/>
        </w:rPr>
        <w:t>reporting’ is when the SCQ or ADI-R meets SEED ASD risk or ASD criteria while ADOS or OARS does not</w:t>
      </w: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‘Under-</w:t>
      </w:r>
      <w:r w:rsidRPr="00766CD6">
        <w:rPr>
          <w:rFonts w:ascii="Times New Roman" w:hAnsi="Times New Roman" w:cs="Times New Roman"/>
          <w:sz w:val="24"/>
          <w:szCs w:val="24"/>
        </w:rPr>
        <w:t>reporting’ is when the SCQ or ADI-R does not meet SEED ASD risk or ASD criteria while ADOS or OARS does</w:t>
      </w: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r w:rsidRPr="00766CD6">
        <w:rPr>
          <w:rFonts w:ascii="Times New Roman" w:hAnsi="Times New Roman" w:cs="Times New Roman"/>
          <w:sz w:val="24"/>
          <w:szCs w:val="24"/>
        </w:rPr>
        <w:br w:type="page"/>
      </w: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r w:rsidRPr="00766CD6">
        <w:rPr>
          <w:rFonts w:ascii="Times New Roman" w:hAnsi="Times New Roman" w:cs="Times New Roman"/>
          <w:sz w:val="24"/>
          <w:szCs w:val="24"/>
        </w:rPr>
        <w:t xml:space="preserve">Supplement 3.  </w:t>
      </w:r>
      <w:r w:rsidRPr="00766CD6">
        <w:rPr>
          <w:rFonts w:ascii="Times New Roman" w:hAnsi="Times New Roman" w:cs="Times New Roman"/>
          <w:color w:val="000000"/>
          <w:sz w:val="24"/>
          <w:szCs w:val="24"/>
        </w:rPr>
        <w:t>Overall estimates comparing discordance between maternal and clinician ratings on child autism spectrum disorder screening and evaluation instruments in the Study to Explore Early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(SEED)</w:t>
      </w:r>
      <w:r w:rsidRPr="00766CD6">
        <w:rPr>
          <w:rFonts w:ascii="Times New Roman" w:hAnsi="Times New Roman" w:cs="Times New Roman"/>
          <w:color w:val="000000"/>
          <w:sz w:val="24"/>
          <w:szCs w:val="24"/>
        </w:rPr>
        <w:t>, by maternal broader autism phenotype status, evaluating excluding mothers with Spanish as a preferred language</w:t>
      </w:r>
    </w:p>
    <w:p w:rsidR="00D5118D" w:rsidRPr="00766CD6" w:rsidRDefault="00D5118D" w:rsidP="00D511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170"/>
        <w:gridCol w:w="1260"/>
        <w:gridCol w:w="1080"/>
        <w:gridCol w:w="1612"/>
        <w:gridCol w:w="8"/>
        <w:gridCol w:w="900"/>
        <w:gridCol w:w="1350"/>
        <w:gridCol w:w="1080"/>
        <w:gridCol w:w="1260"/>
      </w:tblGrid>
      <w:tr w:rsidR="00D5118D" w:rsidRPr="00766CD6" w:rsidTr="00336486">
        <w:trPr>
          <w:trHeight w:val="34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SCQ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ADI-R</w:t>
            </w:r>
          </w:p>
        </w:tc>
      </w:tr>
      <w:tr w:rsidR="00D5118D" w:rsidRPr="00766CD6" w:rsidTr="00336486">
        <w:trPr>
          <w:trHeight w:val="280"/>
        </w:trPr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CB023C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0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‘Over-reporting’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‘Under-reporting’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‘</w:t>
            </w: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Over-reporting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‘Under-reporting’ </w:t>
            </w:r>
          </w:p>
        </w:tc>
      </w:tr>
      <w:tr w:rsidR="00D5118D" w:rsidRPr="00766CD6" w:rsidTr="00336486">
        <w:trPr>
          <w:trHeight w:val="340"/>
        </w:trPr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18D" w:rsidRPr="000B40BA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95% CI</w:t>
            </w:r>
          </w:p>
        </w:tc>
      </w:tr>
      <w:tr w:rsidR="00D5118D" w:rsidRPr="00766CD6" w:rsidTr="00336486">
        <w:trPr>
          <w:trHeight w:val="340"/>
        </w:trPr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 speakers only (n=665)</w:t>
            </w:r>
          </w:p>
        </w:tc>
      </w:tr>
      <w:tr w:rsidR="00D5118D" w:rsidRPr="00766CD6" w:rsidTr="00336486">
        <w:trPr>
          <w:trHeight w:val="2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0.90, 2.18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0.27, 1.83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1.13, 6.22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0.51, 1.75</w:t>
            </w:r>
          </w:p>
        </w:tc>
      </w:tr>
      <w:tr w:rsidR="00D5118D" w:rsidRPr="00766CD6" w:rsidTr="00336486">
        <w:trPr>
          <w:trHeight w:val="2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0.79, 1.66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0.20, 1.82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0.74, 2.61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0.47, 1.97</w:t>
            </w:r>
          </w:p>
        </w:tc>
      </w:tr>
      <w:tr w:rsidR="00D5118D" w:rsidRPr="00766CD6" w:rsidTr="00336486">
        <w:trPr>
          <w:trHeight w:val="34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sample (N=712)</w:t>
            </w:r>
          </w:p>
        </w:tc>
      </w:tr>
      <w:tr w:rsidR="00D5118D" w:rsidRPr="00766CD6" w:rsidTr="00336486">
        <w:trPr>
          <w:trHeight w:val="2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1.12, 2.37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0.21, 1.50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1.35, 6.03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0.47, 1.53</w:t>
            </w:r>
          </w:p>
        </w:tc>
      </w:tr>
      <w:tr w:rsidR="00D5118D" w:rsidRPr="00766CD6" w:rsidTr="00336486">
        <w:trPr>
          <w:trHeight w:val="2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0.95, 1.77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0.16, 1.57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0.96, 2.92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0.46, 1.81</w:t>
            </w:r>
          </w:p>
        </w:tc>
      </w:tr>
      <w:tr w:rsidR="00D5118D" w:rsidRPr="00766CD6" w:rsidTr="00336486">
        <w:trPr>
          <w:trHeight w:val="34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keepNext/>
              <w:keepLines/>
              <w:spacing w:before="20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Percent difference</w:t>
            </w:r>
          </w:p>
        </w:tc>
      </w:tr>
      <w:tr w:rsidR="00D5118D" w:rsidRPr="00766CD6" w:rsidTr="00336486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18D" w:rsidRPr="00766CD6" w:rsidTr="00336486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OARS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18D" w:rsidRPr="00766CD6" w:rsidRDefault="00D5118D" w:rsidP="0033648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118D" w:rsidRPr="00766CD6" w:rsidRDefault="00D5118D" w:rsidP="00D5118D">
      <w:pPr>
        <w:rPr>
          <w:rFonts w:ascii="Times New Roman" w:hAnsi="Times New Roman" w:cs="Times New Roman"/>
          <w:b/>
          <w:sz w:val="24"/>
          <w:szCs w:val="24"/>
        </w:rPr>
      </w:pPr>
    </w:p>
    <w:p w:rsidR="00D5118D" w:rsidRPr="00766CD6" w:rsidRDefault="00D5118D" w:rsidP="00D5118D">
      <w:pPr>
        <w:rPr>
          <w:rFonts w:ascii="Times New Roman" w:hAnsi="Times New Roman" w:cs="Times New Roman"/>
          <w:b/>
          <w:sz w:val="24"/>
          <w:szCs w:val="24"/>
        </w:rPr>
      </w:pPr>
    </w:p>
    <w:p w:rsidR="00D5118D" w:rsidRDefault="00D5118D" w:rsidP="00D511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RR: risk ratio;</w:t>
      </w:r>
    </w:p>
    <w:p w:rsidR="00D5118D" w:rsidRPr="00766CD6" w:rsidRDefault="00D5118D" w:rsidP="00D511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hAnsi="Times New Roman" w:cs="Times New Roman"/>
          <w:color w:val="000000"/>
          <w:sz w:val="24"/>
          <w:szCs w:val="24"/>
        </w:rPr>
        <w:t>CI: confidence interval;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SCQ: Social Communication Questionnaire;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ADI-R: Autism Diagnostic Interview-Revised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ADOS: Autism Diagnostic Observation Schedule;</w:t>
      </w:r>
    </w:p>
    <w:p w:rsidR="00D5118D" w:rsidRPr="00766CD6" w:rsidRDefault="00D5118D" w:rsidP="00D5118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CD6">
        <w:rPr>
          <w:rFonts w:ascii="Times New Roman" w:eastAsia="Times New Roman" w:hAnsi="Times New Roman" w:cs="Times New Roman"/>
          <w:color w:val="000000"/>
          <w:sz w:val="24"/>
          <w:szCs w:val="24"/>
        </w:rPr>
        <w:t>OARS: The Ohio State University Autism Rating Scale</w:t>
      </w:r>
    </w:p>
    <w:p w:rsidR="00D5118D" w:rsidRPr="00766CD6" w:rsidRDefault="00D5118D" w:rsidP="00D5118D">
      <w:pPr>
        <w:rPr>
          <w:rFonts w:ascii="Times New Roman" w:hAnsi="Times New Roman" w:cs="Times New Roman"/>
          <w:b/>
          <w:sz w:val="24"/>
          <w:szCs w:val="24"/>
        </w:rPr>
      </w:pPr>
    </w:p>
    <w:p w:rsidR="00D5118D" w:rsidRPr="00766CD6" w:rsidRDefault="00D5118D" w:rsidP="00D511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‘Over-</w:t>
      </w:r>
      <w:r w:rsidRPr="00766CD6">
        <w:rPr>
          <w:rFonts w:ascii="Times New Roman" w:hAnsi="Times New Roman" w:cs="Times New Roman"/>
          <w:sz w:val="24"/>
          <w:szCs w:val="24"/>
        </w:rPr>
        <w:t>reporting’ is when the SCQ or ADI-R meets SEED ASD risk or ASD criteria while ADOS or OARS does not</w:t>
      </w:r>
    </w:p>
    <w:p w:rsidR="00BE172C" w:rsidRPr="00D5118D" w:rsidRDefault="00D511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766C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‘Under-</w:t>
      </w:r>
      <w:r w:rsidRPr="00766CD6">
        <w:rPr>
          <w:rFonts w:ascii="Times New Roman" w:hAnsi="Times New Roman" w:cs="Times New Roman"/>
          <w:sz w:val="24"/>
          <w:szCs w:val="24"/>
        </w:rPr>
        <w:t>reporting’ is when the SCQ or ADI-R does not meet SEED ASD risk or ASD criteria while ADOS or OARS does</w:t>
      </w:r>
    </w:p>
    <w:sectPr w:rsidR="00BE172C" w:rsidRPr="00D5118D" w:rsidSect="00D5118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7D0"/>
    <w:multiLevelType w:val="hybridMultilevel"/>
    <w:tmpl w:val="160A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8D"/>
    <w:rsid w:val="00AC34B1"/>
    <w:rsid w:val="00BE172C"/>
    <w:rsid w:val="00D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FDF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8D"/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8D"/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726</Words>
  <Characters>4143</Characters>
  <Application>Microsoft Macintosh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Rubenstein</dc:creator>
  <cp:keywords/>
  <dc:description/>
  <cp:lastModifiedBy>Eric Rubenstein</cp:lastModifiedBy>
  <cp:revision>1</cp:revision>
  <cp:lastPrinted>2017-06-06T13:16:00Z</cp:lastPrinted>
  <dcterms:created xsi:type="dcterms:W3CDTF">2017-06-06T13:10:00Z</dcterms:created>
  <dcterms:modified xsi:type="dcterms:W3CDTF">2017-06-06T13:17:00Z</dcterms:modified>
</cp:coreProperties>
</file>