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BD" w:rsidRDefault="00E574BD" w:rsidP="00E574BD">
      <w:pPr>
        <w:rPr>
          <w:color w:val="auto"/>
        </w:rPr>
      </w:pPr>
      <w:proofErr w:type="gramStart"/>
      <w:r w:rsidRPr="004D6390">
        <w:rPr>
          <w:color w:val="auto"/>
        </w:rPr>
        <w:t xml:space="preserve">Figure </w:t>
      </w:r>
      <w:r>
        <w:rPr>
          <w:color w:val="auto"/>
        </w:rPr>
        <w:t>8.</w:t>
      </w:r>
      <w:proofErr w:type="gramEnd"/>
      <w:r>
        <w:rPr>
          <w:color w:val="auto"/>
        </w:rPr>
        <w:t xml:space="preserve"> Parallel Growth Model for Effect of PST on Care Recipient Depression via Caregiver Dysfunctional Problem-Solving</w:t>
      </w:r>
    </w:p>
    <w:p w:rsidR="00E574BD" w:rsidRPr="00267610" w:rsidRDefault="00E574BD" w:rsidP="00E574BD">
      <w:pPr>
        <w:rPr>
          <w:color w:val="auto"/>
        </w:rPr>
      </w:pPr>
    </w:p>
    <w:p w:rsidR="00E574BD" w:rsidRDefault="00E574BD" w:rsidP="00E574BD"/>
    <w:p w:rsidR="00E574BD" w:rsidRDefault="00E574BD" w:rsidP="00E574BD">
      <w:r>
        <w:rPr>
          <w:noProof/>
        </w:rPr>
        <w:drawing>
          <wp:inline distT="0" distB="0" distL="0" distR="0" wp14:anchorId="5A7CB19A" wp14:editId="7CB63C34">
            <wp:extent cx="5201285" cy="417766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5201285" cy="4177665"/>
                    </a:xfrm>
                    <a:prstGeom prst="rect">
                      <a:avLst/>
                    </a:prstGeom>
                    <a:noFill/>
                    <a:ln w="9525">
                      <a:noFill/>
                      <a:miter lim="800000"/>
                      <a:headEnd/>
                      <a:tailEnd/>
                    </a:ln>
                  </pic:spPr>
                </pic:pic>
              </a:graphicData>
            </a:graphic>
          </wp:inline>
        </w:drawing>
      </w:r>
    </w:p>
    <w:p w:rsidR="00E574BD" w:rsidRDefault="00E574BD" w:rsidP="00E574BD"/>
    <w:p w:rsidR="00E574BD" w:rsidRDefault="00E574BD" w:rsidP="00E574BD">
      <w:pPr>
        <w:rPr>
          <w:color w:val="auto"/>
        </w:rPr>
      </w:pPr>
      <w:r>
        <w:rPr>
          <w:color w:val="auto"/>
        </w:rPr>
        <w:t xml:space="preserve">* </w:t>
      </w:r>
      <w:proofErr w:type="gramStart"/>
      <w:r w:rsidRPr="00733C16">
        <w:rPr>
          <w:i/>
          <w:color w:val="auto"/>
        </w:rPr>
        <w:t>p</w:t>
      </w:r>
      <w:proofErr w:type="gramEnd"/>
      <w:r w:rsidRPr="00305CA9">
        <w:rPr>
          <w:color w:val="auto"/>
        </w:rPr>
        <w:t xml:space="preserve"> </w:t>
      </w:r>
      <w:r>
        <w:rPr>
          <w:color w:val="auto"/>
        </w:rPr>
        <w:t>&lt; .05</w:t>
      </w:r>
    </w:p>
    <w:p w:rsidR="00E574BD" w:rsidRDefault="00E574BD" w:rsidP="00E574BD">
      <w:pPr>
        <w:rPr>
          <w:color w:val="auto"/>
        </w:rPr>
      </w:pPr>
      <w:r>
        <w:rPr>
          <w:color w:val="auto"/>
        </w:rPr>
        <w:br w:type="page"/>
      </w:r>
    </w:p>
    <w:p w:rsidR="00E574BD" w:rsidRDefault="00E574BD" w:rsidP="00E574BD">
      <w:pPr>
        <w:rPr>
          <w:color w:val="auto"/>
        </w:rPr>
      </w:pPr>
    </w:p>
    <w:p w:rsidR="00E574BD" w:rsidRDefault="00E574BD" w:rsidP="00E574BD">
      <w:pPr>
        <w:spacing w:line="480" w:lineRule="auto"/>
        <w:ind w:firstLine="720"/>
        <w:jc w:val="center"/>
        <w:rPr>
          <w:color w:val="auto"/>
        </w:rPr>
      </w:pPr>
      <w:r>
        <w:rPr>
          <w:color w:val="auto"/>
        </w:rPr>
        <w:t>Online Supplemental Material</w:t>
      </w:r>
    </w:p>
    <w:p w:rsidR="00E574BD" w:rsidRDefault="00E574BD" w:rsidP="00E574BD">
      <w:pPr>
        <w:spacing w:line="480" w:lineRule="auto"/>
        <w:ind w:firstLine="720"/>
        <w:rPr>
          <w:color w:val="auto"/>
        </w:rPr>
      </w:pPr>
      <w:r>
        <w:rPr>
          <w:color w:val="auto"/>
        </w:rPr>
        <w:t>Previous research suggests that family caregivers of persons with TBI may have a different trajectory of response to PST compared to other caregivers. Rivera et al. (2008) found caregivers receiving PST initially experienced an increase in depression scores, and these steadily declined over time as they benefitted from PST.  This kind of “discontinuous” change in response to treatment is familiar in counseling research (</w:t>
      </w:r>
      <w:r w:rsidRPr="004D6390">
        <w:rPr>
          <w:color w:val="auto"/>
        </w:rPr>
        <w:t xml:space="preserve">Hayes, </w:t>
      </w:r>
      <w:proofErr w:type="spellStart"/>
      <w:r w:rsidRPr="004D6390">
        <w:rPr>
          <w:color w:val="auto"/>
        </w:rPr>
        <w:t>Laurenceau</w:t>
      </w:r>
      <w:proofErr w:type="spellEnd"/>
      <w:r w:rsidRPr="004D6390">
        <w:rPr>
          <w:color w:val="auto"/>
        </w:rPr>
        <w:t xml:space="preserve">, Feldman, Strauss, &amp; </w:t>
      </w:r>
      <w:proofErr w:type="spellStart"/>
      <w:r w:rsidRPr="004D6390">
        <w:rPr>
          <w:color w:val="auto"/>
        </w:rPr>
        <w:t>Cardaciotto</w:t>
      </w:r>
      <w:proofErr w:type="spellEnd"/>
      <w:r w:rsidRPr="004D6390">
        <w:rPr>
          <w:color w:val="auto"/>
        </w:rPr>
        <w:t>, 2007</w:t>
      </w:r>
      <w:r>
        <w:rPr>
          <w:color w:val="auto"/>
        </w:rPr>
        <w:t>) but it stands in contrast to the “linear” decrease in depression scores experienced by other caregivers (Elliott et al., 2009; Grant et al., 2002; Wade et al., 2006a).</w:t>
      </w:r>
    </w:p>
    <w:p w:rsidR="00E574BD" w:rsidRPr="00C079F7" w:rsidRDefault="00E574BD" w:rsidP="00E574BD">
      <w:pPr>
        <w:spacing w:line="480" w:lineRule="auto"/>
        <w:ind w:firstLine="720"/>
        <w:rPr>
          <w:color w:val="auto"/>
        </w:rPr>
      </w:pPr>
      <w:r w:rsidRPr="004D6390">
        <w:rPr>
          <w:color w:val="auto"/>
        </w:rPr>
        <w:t>To test potential differences in treatment trajectories of caregiver depression between the TBI subsample and all other disability groups, we used multiple-group analysis</w:t>
      </w:r>
      <w:r>
        <w:rPr>
          <w:color w:val="auto"/>
        </w:rPr>
        <w:t xml:space="preserve"> implemented in MPLUS</w:t>
      </w:r>
      <w:r w:rsidRPr="004D6390">
        <w:rPr>
          <w:color w:val="auto"/>
        </w:rPr>
        <w:t xml:space="preserve">. First, the growth model in Figure 2 was estimated simultaneously in both the TBI and non-TBI samples with all parameters in the figure (including mean slopes and intercepts) constrained to be equal.  Next, intercepts, slopes, and the treatment effects on slope were freed one at a time, and </w:t>
      </w:r>
      <w:proofErr w:type="spellStart"/>
      <w:r w:rsidRPr="004D6390">
        <w:rPr>
          <w:color w:val="auto"/>
        </w:rPr>
        <w:t>Satorra-Bentler</w:t>
      </w:r>
      <w:proofErr w:type="spellEnd"/>
      <w:r w:rsidRPr="004D6390">
        <w:rPr>
          <w:color w:val="auto"/>
        </w:rPr>
        <w:t xml:space="preserve"> scaled chi-squared difference tests (on 1 degree of freedom) were calculated to determine whether allowing the groups to differ on each parameter significantly improved model fit. There were no significant differences in the groups on treatment effect (</w:t>
      </w:r>
      <w:r w:rsidRPr="004D6390">
        <w:rPr>
          <w:color w:val="auto"/>
        </w:rPr>
        <w:sym w:font="Symbol" w:char="F063"/>
      </w:r>
      <w:r w:rsidRPr="004D6390">
        <w:rPr>
          <w:color w:val="auto"/>
          <w:vertAlign w:val="superscript"/>
        </w:rPr>
        <w:t>2</w:t>
      </w:r>
      <w:r>
        <w:rPr>
          <w:color w:val="auto"/>
          <w:vertAlign w:val="superscript"/>
        </w:rPr>
        <w:t xml:space="preserve"> </w:t>
      </w:r>
      <w:r w:rsidRPr="004D6390">
        <w:rPr>
          <w:color w:val="auto"/>
        </w:rPr>
        <w:t>=</w:t>
      </w:r>
      <w:r>
        <w:rPr>
          <w:color w:val="auto"/>
        </w:rPr>
        <w:t xml:space="preserve"> </w:t>
      </w:r>
      <w:r w:rsidRPr="004D6390">
        <w:rPr>
          <w:color w:val="auto"/>
        </w:rPr>
        <w:t xml:space="preserve">.06, </w:t>
      </w:r>
      <w:r w:rsidRPr="004D6390">
        <w:rPr>
          <w:i/>
          <w:color w:val="auto"/>
        </w:rPr>
        <w:t>p</w:t>
      </w:r>
      <w:r>
        <w:rPr>
          <w:i/>
          <w:color w:val="auto"/>
        </w:rPr>
        <w:t xml:space="preserve"> </w:t>
      </w:r>
      <w:r w:rsidRPr="004D6390">
        <w:rPr>
          <w:color w:val="auto"/>
        </w:rPr>
        <w:t>=</w:t>
      </w:r>
      <w:r>
        <w:rPr>
          <w:color w:val="auto"/>
        </w:rPr>
        <w:t xml:space="preserve"> </w:t>
      </w:r>
      <w:r w:rsidRPr="004D6390">
        <w:rPr>
          <w:color w:val="auto"/>
        </w:rPr>
        <w:t>.80) or mean slopes (</w:t>
      </w:r>
      <w:r w:rsidRPr="004D6390">
        <w:rPr>
          <w:color w:val="auto"/>
        </w:rPr>
        <w:sym w:font="Symbol" w:char="F063"/>
      </w:r>
      <w:r w:rsidRPr="004D6390">
        <w:rPr>
          <w:color w:val="auto"/>
          <w:vertAlign w:val="superscript"/>
        </w:rPr>
        <w:t>2</w:t>
      </w:r>
      <w:r>
        <w:rPr>
          <w:color w:val="auto"/>
          <w:vertAlign w:val="superscript"/>
        </w:rPr>
        <w:t xml:space="preserve"> </w:t>
      </w:r>
      <w:r w:rsidRPr="004D6390">
        <w:rPr>
          <w:color w:val="auto"/>
        </w:rPr>
        <w:t>=</w:t>
      </w:r>
      <w:r>
        <w:rPr>
          <w:color w:val="auto"/>
        </w:rPr>
        <w:t xml:space="preserve"> </w:t>
      </w:r>
      <w:r w:rsidRPr="004D6390">
        <w:rPr>
          <w:color w:val="auto"/>
        </w:rPr>
        <w:t xml:space="preserve">.83, </w:t>
      </w:r>
      <w:r w:rsidRPr="004D6390">
        <w:rPr>
          <w:i/>
          <w:color w:val="auto"/>
        </w:rPr>
        <w:t>p</w:t>
      </w:r>
      <w:r>
        <w:rPr>
          <w:i/>
          <w:color w:val="auto"/>
        </w:rPr>
        <w:t xml:space="preserve"> </w:t>
      </w:r>
      <w:r w:rsidRPr="004D6390">
        <w:rPr>
          <w:color w:val="auto"/>
        </w:rPr>
        <w:t>=</w:t>
      </w:r>
      <w:r>
        <w:rPr>
          <w:color w:val="auto"/>
        </w:rPr>
        <w:t xml:space="preserve"> </w:t>
      </w:r>
      <w:r w:rsidRPr="004D6390">
        <w:rPr>
          <w:color w:val="auto"/>
        </w:rPr>
        <w:t>.36). However, freeing the intercept significantly improved model fit (</w:t>
      </w:r>
      <w:r w:rsidRPr="004D6390">
        <w:rPr>
          <w:color w:val="auto"/>
        </w:rPr>
        <w:sym w:font="Symbol" w:char="F063"/>
      </w:r>
      <w:r w:rsidRPr="004D6390">
        <w:rPr>
          <w:color w:val="auto"/>
          <w:vertAlign w:val="superscript"/>
        </w:rPr>
        <w:t>2</w:t>
      </w:r>
      <w:r>
        <w:rPr>
          <w:color w:val="auto"/>
          <w:vertAlign w:val="superscript"/>
        </w:rPr>
        <w:t xml:space="preserve"> </w:t>
      </w:r>
      <w:r w:rsidRPr="004D6390">
        <w:rPr>
          <w:color w:val="auto"/>
        </w:rPr>
        <w:t>=</w:t>
      </w:r>
      <w:r>
        <w:rPr>
          <w:color w:val="auto"/>
        </w:rPr>
        <w:t xml:space="preserve"> </w:t>
      </w:r>
      <w:r w:rsidRPr="004D6390">
        <w:rPr>
          <w:color w:val="auto"/>
        </w:rPr>
        <w:t xml:space="preserve">11.7, </w:t>
      </w:r>
      <w:r w:rsidRPr="004D6390">
        <w:rPr>
          <w:i/>
          <w:color w:val="auto"/>
        </w:rPr>
        <w:t>p</w:t>
      </w:r>
      <w:r>
        <w:rPr>
          <w:i/>
          <w:color w:val="auto"/>
        </w:rPr>
        <w:t xml:space="preserve"> </w:t>
      </w:r>
      <w:r w:rsidRPr="004D6390">
        <w:rPr>
          <w:color w:val="auto"/>
        </w:rPr>
        <w:t>&lt;</w:t>
      </w:r>
      <w:r>
        <w:rPr>
          <w:color w:val="auto"/>
        </w:rPr>
        <w:t xml:space="preserve"> </w:t>
      </w:r>
      <w:r w:rsidRPr="004D6390">
        <w:rPr>
          <w:color w:val="auto"/>
        </w:rPr>
        <w:t xml:space="preserve">.001). These results indicate that PST produced comparable treatment effects in the TBI and non-TBI samples, even though the TBI caregivers began treatment with higher levels of depression. The final trajectories for the two </w:t>
      </w:r>
      <w:r>
        <w:rPr>
          <w:color w:val="auto"/>
        </w:rPr>
        <w:t>groups are depicted in Figure 1S</w:t>
      </w:r>
      <w:r w:rsidRPr="004D6390">
        <w:rPr>
          <w:color w:val="auto"/>
        </w:rPr>
        <w:t>.</w:t>
      </w:r>
    </w:p>
    <w:p w:rsidR="00E574BD" w:rsidRDefault="00E574BD" w:rsidP="00E574BD">
      <w:pPr>
        <w:spacing w:line="480" w:lineRule="auto"/>
        <w:ind w:firstLine="720"/>
        <w:rPr>
          <w:color w:val="auto"/>
        </w:rPr>
      </w:pPr>
      <w:r w:rsidRPr="004D6390">
        <w:rPr>
          <w:color w:val="auto"/>
        </w:rPr>
        <w:lastRenderedPageBreak/>
        <w:t>We used the same multiple-group strategy for comparing trajectories of care recipient depression in the TBI and non-TBI samples. There were no significant differences in treatment effect (</w:t>
      </w:r>
      <w:r w:rsidRPr="004D6390">
        <w:rPr>
          <w:color w:val="auto"/>
        </w:rPr>
        <w:sym w:font="Symbol" w:char="F063"/>
      </w:r>
      <w:r w:rsidRPr="004D6390">
        <w:rPr>
          <w:color w:val="auto"/>
          <w:vertAlign w:val="superscript"/>
        </w:rPr>
        <w:t>2</w:t>
      </w:r>
      <w:r>
        <w:rPr>
          <w:color w:val="auto"/>
          <w:vertAlign w:val="superscript"/>
        </w:rPr>
        <w:t xml:space="preserve"> </w:t>
      </w:r>
      <w:r w:rsidRPr="004D6390">
        <w:rPr>
          <w:color w:val="auto"/>
        </w:rPr>
        <w:t>=</w:t>
      </w:r>
      <w:r>
        <w:rPr>
          <w:color w:val="auto"/>
        </w:rPr>
        <w:t xml:space="preserve"> </w:t>
      </w:r>
      <w:r w:rsidRPr="004D6390">
        <w:rPr>
          <w:color w:val="auto"/>
        </w:rPr>
        <w:t xml:space="preserve">.08, </w:t>
      </w:r>
      <w:r w:rsidRPr="004D6390">
        <w:rPr>
          <w:i/>
          <w:color w:val="auto"/>
        </w:rPr>
        <w:t>p</w:t>
      </w:r>
      <w:r>
        <w:rPr>
          <w:i/>
          <w:color w:val="auto"/>
        </w:rPr>
        <w:t xml:space="preserve"> </w:t>
      </w:r>
      <w:r w:rsidRPr="004D6390">
        <w:rPr>
          <w:color w:val="auto"/>
        </w:rPr>
        <w:t>=</w:t>
      </w:r>
      <w:r>
        <w:rPr>
          <w:color w:val="auto"/>
        </w:rPr>
        <w:t xml:space="preserve"> </w:t>
      </w:r>
      <w:r w:rsidRPr="004D6390">
        <w:rPr>
          <w:color w:val="auto"/>
        </w:rPr>
        <w:t>.78), intercepts (</w:t>
      </w:r>
      <w:r w:rsidRPr="004D6390">
        <w:rPr>
          <w:color w:val="auto"/>
        </w:rPr>
        <w:sym w:font="Symbol" w:char="F063"/>
      </w:r>
      <w:r w:rsidRPr="004D6390">
        <w:rPr>
          <w:color w:val="auto"/>
          <w:vertAlign w:val="superscript"/>
        </w:rPr>
        <w:t>2</w:t>
      </w:r>
      <w:r>
        <w:rPr>
          <w:color w:val="auto"/>
          <w:vertAlign w:val="superscript"/>
        </w:rPr>
        <w:t xml:space="preserve"> </w:t>
      </w:r>
      <w:r w:rsidRPr="004D6390">
        <w:rPr>
          <w:color w:val="auto"/>
        </w:rPr>
        <w:t>=</w:t>
      </w:r>
      <w:r>
        <w:rPr>
          <w:color w:val="auto"/>
        </w:rPr>
        <w:t xml:space="preserve"> </w:t>
      </w:r>
      <w:r w:rsidRPr="004D6390">
        <w:rPr>
          <w:color w:val="auto"/>
        </w:rPr>
        <w:t xml:space="preserve">1.53, </w:t>
      </w:r>
      <w:r w:rsidRPr="004D6390">
        <w:rPr>
          <w:i/>
          <w:color w:val="auto"/>
        </w:rPr>
        <w:t>p</w:t>
      </w:r>
      <w:r>
        <w:rPr>
          <w:i/>
          <w:color w:val="auto"/>
        </w:rPr>
        <w:t xml:space="preserve"> </w:t>
      </w:r>
      <w:r w:rsidRPr="004D6390">
        <w:rPr>
          <w:color w:val="auto"/>
        </w:rPr>
        <w:t>=</w:t>
      </w:r>
      <w:r>
        <w:rPr>
          <w:color w:val="auto"/>
        </w:rPr>
        <w:t xml:space="preserve"> </w:t>
      </w:r>
      <w:r w:rsidRPr="004D6390">
        <w:rPr>
          <w:color w:val="auto"/>
        </w:rPr>
        <w:t>.22), or mean slopes (</w:t>
      </w:r>
      <w:r w:rsidRPr="004D6390">
        <w:rPr>
          <w:color w:val="auto"/>
        </w:rPr>
        <w:sym w:font="Symbol" w:char="F063"/>
      </w:r>
      <w:r w:rsidRPr="004D6390">
        <w:rPr>
          <w:color w:val="auto"/>
          <w:vertAlign w:val="superscript"/>
        </w:rPr>
        <w:t>2</w:t>
      </w:r>
      <w:r>
        <w:rPr>
          <w:color w:val="auto"/>
          <w:vertAlign w:val="superscript"/>
        </w:rPr>
        <w:t xml:space="preserve"> </w:t>
      </w:r>
      <w:r w:rsidRPr="004D6390">
        <w:rPr>
          <w:color w:val="auto"/>
        </w:rPr>
        <w:t>=</w:t>
      </w:r>
      <w:r>
        <w:rPr>
          <w:color w:val="auto"/>
        </w:rPr>
        <w:t xml:space="preserve"> </w:t>
      </w:r>
      <w:r w:rsidRPr="004D6390">
        <w:rPr>
          <w:color w:val="auto"/>
        </w:rPr>
        <w:t xml:space="preserve">2.28, </w:t>
      </w:r>
      <w:r w:rsidRPr="004D6390">
        <w:rPr>
          <w:i/>
          <w:color w:val="auto"/>
        </w:rPr>
        <w:t>p</w:t>
      </w:r>
      <w:r>
        <w:rPr>
          <w:i/>
          <w:color w:val="auto"/>
        </w:rPr>
        <w:t xml:space="preserve"> </w:t>
      </w:r>
      <w:r w:rsidRPr="004D6390">
        <w:rPr>
          <w:color w:val="auto"/>
        </w:rPr>
        <w:t>=</w:t>
      </w:r>
      <w:r>
        <w:rPr>
          <w:color w:val="auto"/>
        </w:rPr>
        <w:t xml:space="preserve"> </w:t>
      </w:r>
      <w:r w:rsidRPr="004D6390">
        <w:rPr>
          <w:color w:val="auto"/>
        </w:rPr>
        <w:t xml:space="preserve">.13). In short, Figure 6 provides a good </w:t>
      </w:r>
      <w:r>
        <w:rPr>
          <w:color w:val="auto"/>
        </w:rPr>
        <w:t>depiction</w:t>
      </w:r>
      <w:r w:rsidRPr="004D6390">
        <w:rPr>
          <w:color w:val="auto"/>
        </w:rPr>
        <w:t xml:space="preserve"> of treatment trajectories </w:t>
      </w:r>
      <w:r>
        <w:rPr>
          <w:color w:val="auto"/>
        </w:rPr>
        <w:t xml:space="preserve">for care recipients </w:t>
      </w:r>
      <w:r w:rsidRPr="004D6390">
        <w:rPr>
          <w:color w:val="auto"/>
        </w:rPr>
        <w:t>in both the TBI and non-TBI samples.</w:t>
      </w:r>
    </w:p>
    <w:p w:rsidR="00E574BD" w:rsidRDefault="00E574BD" w:rsidP="00E574BD">
      <w:pPr>
        <w:spacing w:line="480" w:lineRule="auto"/>
        <w:jc w:val="center"/>
        <w:rPr>
          <w:color w:val="auto"/>
        </w:rPr>
      </w:pPr>
      <w:r>
        <w:rPr>
          <w:color w:val="auto"/>
        </w:rPr>
        <w:t>References</w:t>
      </w:r>
    </w:p>
    <w:p w:rsidR="00E574BD" w:rsidRPr="00303F59" w:rsidRDefault="00E574BD" w:rsidP="00E574BD">
      <w:pPr>
        <w:spacing w:line="480" w:lineRule="auto"/>
        <w:rPr>
          <w:color w:val="auto"/>
        </w:rPr>
      </w:pPr>
      <w:proofErr w:type="gramStart"/>
      <w:r w:rsidRPr="005A4376">
        <w:rPr>
          <w:color w:val="auto"/>
        </w:rPr>
        <w:t xml:space="preserve">Hayes, A. M., </w:t>
      </w:r>
      <w:proofErr w:type="spellStart"/>
      <w:r w:rsidRPr="005A4376">
        <w:rPr>
          <w:color w:val="auto"/>
        </w:rPr>
        <w:t>Laurenceau</w:t>
      </w:r>
      <w:proofErr w:type="spellEnd"/>
      <w:r w:rsidRPr="005A4376">
        <w:rPr>
          <w:color w:val="auto"/>
        </w:rPr>
        <w:t xml:space="preserve">, J. P., Feldman G., Strauss, J. &amp; </w:t>
      </w:r>
      <w:proofErr w:type="spellStart"/>
      <w:r w:rsidRPr="005A4376">
        <w:rPr>
          <w:color w:val="auto"/>
        </w:rPr>
        <w:t>Cardaciotto</w:t>
      </w:r>
      <w:proofErr w:type="spellEnd"/>
      <w:r w:rsidRPr="005A4376">
        <w:rPr>
          <w:color w:val="auto"/>
        </w:rPr>
        <w:t>, L, (2007).</w:t>
      </w:r>
      <w:proofErr w:type="gramEnd"/>
      <w:r w:rsidRPr="005A4376">
        <w:rPr>
          <w:color w:val="auto"/>
        </w:rPr>
        <w:t xml:space="preserve"> </w:t>
      </w:r>
      <w:r w:rsidRPr="005A4376">
        <w:rPr>
          <w:color w:val="auto"/>
        </w:rPr>
        <w:tab/>
        <w:t xml:space="preserve">Change is not always linear: The study of nonlinear and discontinuous patterns of </w:t>
      </w:r>
    </w:p>
    <w:p w:rsidR="00E574BD" w:rsidRDefault="00E574BD" w:rsidP="00E574BD">
      <w:pPr>
        <w:spacing w:line="480" w:lineRule="auto"/>
        <w:rPr>
          <w:color w:val="auto"/>
        </w:rPr>
      </w:pPr>
      <w:r w:rsidRPr="005A4376">
        <w:rPr>
          <w:color w:val="auto"/>
        </w:rPr>
        <w:tab/>
      </w:r>
      <w:proofErr w:type="gramStart"/>
      <w:r w:rsidRPr="005A4376">
        <w:rPr>
          <w:color w:val="auto"/>
        </w:rPr>
        <w:t>change</w:t>
      </w:r>
      <w:proofErr w:type="gramEnd"/>
      <w:r w:rsidRPr="005A4376">
        <w:rPr>
          <w:color w:val="auto"/>
        </w:rPr>
        <w:t xml:space="preserve"> in psychotherapy. </w:t>
      </w:r>
      <w:r w:rsidRPr="005A4376">
        <w:rPr>
          <w:i/>
          <w:color w:val="auto"/>
        </w:rPr>
        <w:t>Clinical Psychology Review, 27</w:t>
      </w:r>
      <w:r w:rsidRPr="005A4376">
        <w:rPr>
          <w:color w:val="auto"/>
        </w:rPr>
        <w:t>, 715-723.</w:t>
      </w:r>
    </w:p>
    <w:p w:rsidR="00E574BD" w:rsidRDefault="00E574BD" w:rsidP="00E574BD">
      <w:pPr>
        <w:tabs>
          <w:tab w:val="left" w:pos="-720"/>
        </w:tabs>
        <w:rPr>
          <w:color w:val="auto"/>
        </w:rPr>
      </w:pPr>
      <w:proofErr w:type="gramStart"/>
      <w:r>
        <w:rPr>
          <w:color w:val="auto"/>
        </w:rPr>
        <w:t>Figure 1S.</w:t>
      </w:r>
      <w:proofErr w:type="gramEnd"/>
      <w:r>
        <w:rPr>
          <w:color w:val="auto"/>
        </w:rPr>
        <w:t xml:space="preserve"> Trajectories of Caregiver Depression in the Multiple Group Analysis for TBI </w:t>
      </w:r>
      <w:proofErr w:type="spellStart"/>
      <w:r>
        <w:rPr>
          <w:color w:val="auto"/>
        </w:rPr>
        <w:t>vs</w:t>
      </w:r>
      <w:proofErr w:type="spellEnd"/>
      <w:r>
        <w:rPr>
          <w:color w:val="auto"/>
        </w:rPr>
        <w:t xml:space="preserve"> Other Caregivers</w:t>
      </w:r>
    </w:p>
    <w:p w:rsidR="00E574BD" w:rsidRDefault="00E574BD" w:rsidP="00E574BD">
      <w:pPr>
        <w:tabs>
          <w:tab w:val="left" w:pos="-720"/>
        </w:tabs>
        <w:rPr>
          <w:color w:val="auto"/>
        </w:rPr>
      </w:pPr>
    </w:p>
    <w:p w:rsidR="00E574BD" w:rsidRDefault="00E574BD" w:rsidP="00E574BD">
      <w:pPr>
        <w:tabs>
          <w:tab w:val="left" w:pos="-720"/>
        </w:tabs>
        <w:rPr>
          <w:color w:val="auto"/>
        </w:rPr>
      </w:pPr>
    </w:p>
    <w:p w:rsidR="00E574BD" w:rsidRDefault="00E574BD" w:rsidP="00E574BD">
      <w:pPr>
        <w:spacing w:line="480" w:lineRule="auto"/>
        <w:rPr>
          <w:color w:val="auto"/>
        </w:rPr>
      </w:pPr>
      <w:r>
        <w:rPr>
          <w:noProof/>
        </w:rPr>
        <w:drawing>
          <wp:inline distT="0" distB="0" distL="0" distR="0" wp14:anchorId="7630A03B" wp14:editId="427FF5B0">
            <wp:extent cx="5937249" cy="34036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943600" cy="3407241"/>
                    </a:xfrm>
                    <a:prstGeom prst="rect">
                      <a:avLst/>
                    </a:prstGeom>
                    <a:noFill/>
                    <a:ln w="9525">
                      <a:noFill/>
                      <a:miter lim="800000"/>
                      <a:headEnd/>
                      <a:tailEnd/>
                    </a:ln>
                  </pic:spPr>
                </pic:pic>
              </a:graphicData>
            </a:graphic>
          </wp:inline>
        </w:drawing>
      </w:r>
    </w:p>
    <w:p w:rsidR="00145F31" w:rsidRDefault="00145F31">
      <w:bookmarkStart w:id="0" w:name="_GoBack"/>
      <w:bookmarkEnd w:id="0"/>
    </w:p>
    <w:sectPr w:rsidR="00145F31" w:rsidSect="005B19C0">
      <w:headerReference w:type="default" r:id="rId7"/>
      <w:pgSz w:w="12240" w:h="15840" w:code="1"/>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71522"/>
      <w:docPartObj>
        <w:docPartGallery w:val="Page Numbers (Top of Page)"/>
        <w:docPartUnique/>
      </w:docPartObj>
    </w:sdtPr>
    <w:sdtEndPr/>
    <w:sdtContent>
      <w:p w:rsidR="006907D8" w:rsidRDefault="00E574BD">
        <w:pPr>
          <w:pStyle w:val="Header"/>
          <w:jc w:val="right"/>
        </w:pPr>
        <w:r>
          <w:fldChar w:fldCharType="begin"/>
        </w:r>
        <w:r>
          <w:instrText xml:space="preserve"> PAGE   \* MERGEFORMAT </w:instrText>
        </w:r>
        <w:r>
          <w:fldChar w:fldCharType="separate"/>
        </w:r>
        <w:r w:rsidRPr="00E574BD">
          <w:rPr>
            <w:noProof/>
            <w:color w:val="000000" w:themeColor="text1"/>
          </w:rPr>
          <w:t>1</w:t>
        </w:r>
        <w:r>
          <w:rPr>
            <w:noProof/>
            <w:color w:val="000000" w:themeColor="text1"/>
          </w:rPr>
          <w:fldChar w:fldCharType="end"/>
        </w:r>
      </w:p>
    </w:sdtContent>
  </w:sdt>
  <w:p w:rsidR="006907D8" w:rsidRDefault="00E574BD" w:rsidP="006A7438">
    <w:pPr>
      <w:pStyle w:val="Header"/>
      <w:rPr>
        <w:color w:val="auto"/>
      </w:rPr>
    </w:pPr>
    <w:r>
      <w:rPr>
        <w:color w:val="auto"/>
      </w:rPr>
      <w:t>PST BENEFITS</w:t>
    </w:r>
  </w:p>
  <w:p w:rsidR="006907D8" w:rsidRPr="006A7438" w:rsidRDefault="00E574BD" w:rsidP="006A7438">
    <w:pPr>
      <w:pStyle w:val="Header"/>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BD"/>
    <w:rsid w:val="00145F31"/>
    <w:rsid w:val="00E5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BD"/>
    <w:pPr>
      <w:spacing w:after="0" w:line="240" w:lineRule="auto"/>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74BD"/>
    <w:pPr>
      <w:tabs>
        <w:tab w:val="center" w:pos="4320"/>
        <w:tab w:val="right" w:pos="8640"/>
      </w:tabs>
    </w:pPr>
  </w:style>
  <w:style w:type="character" w:customStyle="1" w:styleId="HeaderChar">
    <w:name w:val="Header Char"/>
    <w:basedOn w:val="DefaultParagraphFont"/>
    <w:link w:val="Header"/>
    <w:uiPriority w:val="99"/>
    <w:rsid w:val="00E574BD"/>
    <w:rPr>
      <w:rFonts w:ascii="Times New Roman" w:eastAsia="Times New Roman" w:hAnsi="Times New Roman" w:cs="Times New Roman"/>
      <w:color w:val="0000FF"/>
      <w:sz w:val="24"/>
      <w:szCs w:val="20"/>
    </w:rPr>
  </w:style>
  <w:style w:type="paragraph" w:styleId="BalloonText">
    <w:name w:val="Balloon Text"/>
    <w:basedOn w:val="Normal"/>
    <w:link w:val="BalloonTextChar"/>
    <w:uiPriority w:val="99"/>
    <w:semiHidden/>
    <w:unhideWhenUsed/>
    <w:rsid w:val="00E574BD"/>
    <w:rPr>
      <w:rFonts w:ascii="Tahoma" w:hAnsi="Tahoma" w:cs="Tahoma"/>
      <w:sz w:val="16"/>
      <w:szCs w:val="16"/>
    </w:rPr>
  </w:style>
  <w:style w:type="character" w:customStyle="1" w:styleId="BalloonTextChar">
    <w:name w:val="Balloon Text Char"/>
    <w:basedOn w:val="DefaultParagraphFont"/>
    <w:link w:val="BalloonText"/>
    <w:uiPriority w:val="99"/>
    <w:semiHidden/>
    <w:rsid w:val="00E574BD"/>
    <w:rPr>
      <w:rFonts w:ascii="Tahoma" w:eastAsia="Times New Roman" w:hAnsi="Tahoma" w:cs="Tahoma"/>
      <w:color w:val="0000F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BD"/>
    <w:pPr>
      <w:spacing w:after="0" w:line="240" w:lineRule="auto"/>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74BD"/>
    <w:pPr>
      <w:tabs>
        <w:tab w:val="center" w:pos="4320"/>
        <w:tab w:val="right" w:pos="8640"/>
      </w:tabs>
    </w:pPr>
  </w:style>
  <w:style w:type="character" w:customStyle="1" w:styleId="HeaderChar">
    <w:name w:val="Header Char"/>
    <w:basedOn w:val="DefaultParagraphFont"/>
    <w:link w:val="Header"/>
    <w:uiPriority w:val="99"/>
    <w:rsid w:val="00E574BD"/>
    <w:rPr>
      <w:rFonts w:ascii="Times New Roman" w:eastAsia="Times New Roman" w:hAnsi="Times New Roman" w:cs="Times New Roman"/>
      <w:color w:val="0000FF"/>
      <w:sz w:val="24"/>
      <w:szCs w:val="20"/>
    </w:rPr>
  </w:style>
  <w:style w:type="paragraph" w:styleId="BalloonText">
    <w:name w:val="Balloon Text"/>
    <w:basedOn w:val="Normal"/>
    <w:link w:val="BalloonTextChar"/>
    <w:uiPriority w:val="99"/>
    <w:semiHidden/>
    <w:unhideWhenUsed/>
    <w:rsid w:val="00E574BD"/>
    <w:rPr>
      <w:rFonts w:ascii="Tahoma" w:hAnsi="Tahoma" w:cs="Tahoma"/>
      <w:sz w:val="16"/>
      <w:szCs w:val="16"/>
    </w:rPr>
  </w:style>
  <w:style w:type="character" w:customStyle="1" w:styleId="BalloonTextChar">
    <w:name w:val="Balloon Text Char"/>
    <w:basedOn w:val="DefaultParagraphFont"/>
    <w:link w:val="BalloonText"/>
    <w:uiPriority w:val="99"/>
    <w:semiHidden/>
    <w:rsid w:val="00E574BD"/>
    <w:rPr>
      <w:rFonts w:ascii="Tahoma" w:eastAsia="Times New Roman" w:hAnsi="Tahoma" w:cs="Tahoma"/>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cp:revision>
  <dcterms:created xsi:type="dcterms:W3CDTF">2012-06-06T13:20:00Z</dcterms:created>
  <dcterms:modified xsi:type="dcterms:W3CDTF">2012-06-06T13:21:00Z</dcterms:modified>
</cp:coreProperties>
</file>