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4" w:rsidRPr="006B6720" w:rsidRDefault="005A12E4" w:rsidP="00041A54">
      <w:pPr>
        <w:pStyle w:val="Heading1"/>
        <w:rPr>
          <w:color w:val="auto"/>
        </w:rPr>
      </w:pPr>
      <w:r>
        <w:rPr>
          <w:color w:val="auto"/>
        </w:rPr>
        <w:t>Appendix</w:t>
      </w:r>
      <w:r w:rsidR="00041A54" w:rsidRPr="006B6720">
        <w:rPr>
          <w:color w:val="auto"/>
        </w:rPr>
        <w:t>: Categories of medications taken in past week to treat attention-deficit/hyperactivity disorder (ADHD) by parent report, National Survey of Children with Special Health Care Needs: 2009-10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8"/>
      </w:tblGrid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5F4C00" w:rsidP="00E26611">
            <w:pPr>
              <w:spacing w:after="0" w:line="240" w:lineRule="auto"/>
            </w:pPr>
            <w:r>
              <w:t>Drug Class*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Medications Included</w:t>
            </w:r>
            <w:r w:rsidR="005F4C00">
              <w:t>^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Central nervous system stimulants (CNS Stimulants)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Adderall, Adderall XR, Amphetamine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Concerta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Daytrana Patch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Dexedrine, Dexedrine Spansule, Dextrostat, Dextro-Amphetamine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De</w:t>
            </w:r>
            <w:r w:rsidR="007316CA">
              <w:t>x</w:t>
            </w:r>
            <w:bookmarkStart w:id="0" w:name="_GoBack"/>
            <w:bookmarkEnd w:id="0"/>
            <w:r w:rsidRPr="00443004">
              <w:t>methylphenidate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Focalin, Focalin XR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Metadate, Metadate CD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Methylin 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Methylphenidate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Ritalin, Ritalin LA, Ritalin SR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Vyvanse, Lisdexamfetmine 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Selective norepinephrine reuptake inhibitors (SNRI) 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Strattera, Atomoxetine 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Selective serotonin reuptake inhibitors (SSRI) 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Celexa, Citalopram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Fluoxetine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Prozac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Sertraline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 xml:space="preserve">Zoloft 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Atypical antipsychotics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Abilify</w:t>
            </w:r>
          </w:p>
          <w:p w:rsidR="00041A54" w:rsidRPr="00443004" w:rsidRDefault="00041A54" w:rsidP="00E26611">
            <w:pPr>
              <w:spacing w:after="0" w:line="240" w:lineRule="auto"/>
            </w:pPr>
            <w:r w:rsidRPr="00443004">
              <w:t>Risperdal, Risperidone, Risperdol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041A54" w:rsidP="00E26611">
            <w:pPr>
              <w:spacing w:after="0" w:line="240" w:lineRule="auto"/>
            </w:pPr>
            <w:r w:rsidRPr="00443004">
              <w:t>Centrally acting alpha-agonist hypotensive agents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041A54" w:rsidP="005F4C00">
            <w:pPr>
              <w:spacing w:after="0" w:line="240" w:lineRule="auto"/>
            </w:pPr>
            <w:r w:rsidRPr="00443004">
              <w:t>Clonidine</w:t>
            </w:r>
          </w:p>
        </w:tc>
      </w:tr>
      <w:tr w:rsidR="00041A54" w:rsidRPr="00443004" w:rsidTr="00E26611">
        <w:tc>
          <w:tcPr>
            <w:tcW w:w="3078" w:type="dxa"/>
            <w:shd w:val="clear" w:color="auto" w:fill="auto"/>
          </w:tcPr>
          <w:p w:rsidR="00041A54" w:rsidRPr="00443004" w:rsidRDefault="005F4C00" w:rsidP="00E26611">
            <w:pPr>
              <w:spacing w:after="0" w:line="240" w:lineRule="auto"/>
            </w:pPr>
            <w:r>
              <w:t xml:space="preserve">Centrally acting alpha 2A </w:t>
            </w:r>
            <w:r w:rsidR="00041A54" w:rsidRPr="00443004">
              <w:t>adrenergic receptor agonists</w:t>
            </w:r>
          </w:p>
        </w:tc>
        <w:tc>
          <w:tcPr>
            <w:tcW w:w="6498" w:type="dxa"/>
            <w:shd w:val="clear" w:color="auto" w:fill="auto"/>
          </w:tcPr>
          <w:p w:rsidR="00041A54" w:rsidRPr="00443004" w:rsidRDefault="005F4C00" w:rsidP="005F4C00">
            <w:pPr>
              <w:spacing w:after="0" w:line="240" w:lineRule="auto"/>
            </w:pPr>
            <w:r w:rsidRPr="00443004">
              <w:t>Guanfacine,</w:t>
            </w:r>
            <w:r>
              <w:t xml:space="preserve"> </w:t>
            </w:r>
            <w:r w:rsidR="00041A54" w:rsidRPr="00443004">
              <w:t>Intuniv, Tenex</w:t>
            </w:r>
          </w:p>
        </w:tc>
      </w:tr>
    </w:tbl>
    <w:p w:rsidR="005F4C00" w:rsidRDefault="005F4C00" w:rsidP="00041A54">
      <w:r>
        <w:t xml:space="preserve">* Drug class was determined from </w:t>
      </w:r>
      <w:r w:rsidRPr="005F4C00">
        <w:t>http://www.nlm.nih.gov/medlineplus/medlineplus.html</w:t>
      </w:r>
    </w:p>
    <w:p w:rsidR="005F4C00" w:rsidRDefault="005F4C00" w:rsidP="00041A54">
      <w:r>
        <w:t xml:space="preserve">^ </w:t>
      </w:r>
      <w:r w:rsidR="00041A54">
        <w:t>S</w:t>
      </w:r>
      <w:r w:rsidR="00041A54" w:rsidRPr="004945CA">
        <w:t>eroquel</w:t>
      </w:r>
      <w:r w:rsidR="00041A54">
        <w:t>, Trazadone, and Wellbutrin were reported by a small number of families, but were excluded from a</w:t>
      </w:r>
      <w:r>
        <w:t>nalyses due to low sample size.</w:t>
      </w:r>
    </w:p>
    <w:p w:rsidR="00C777C4" w:rsidRDefault="00C777C4"/>
    <w:sectPr w:rsidR="00C777C4" w:rsidSect="00590F7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4"/>
    <w:rsid w:val="00041A54"/>
    <w:rsid w:val="00052460"/>
    <w:rsid w:val="003754C4"/>
    <w:rsid w:val="00437080"/>
    <w:rsid w:val="00590F70"/>
    <w:rsid w:val="005A12E4"/>
    <w:rsid w:val="005F4C00"/>
    <w:rsid w:val="007316CA"/>
    <w:rsid w:val="00C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A5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54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F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A5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54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F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5</cp:revision>
  <dcterms:created xsi:type="dcterms:W3CDTF">2014-12-30T22:00:00Z</dcterms:created>
  <dcterms:modified xsi:type="dcterms:W3CDTF">2015-03-09T22:45:00Z</dcterms:modified>
</cp:coreProperties>
</file>