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8947E" w14:textId="77777777" w:rsidR="00A1311D" w:rsidRPr="00C26F46" w:rsidRDefault="00A1311D" w:rsidP="00A131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Supporting </w:t>
      </w:r>
      <w:r w:rsidRPr="00C26F46">
        <w:rPr>
          <w:rFonts w:ascii="Arial" w:hAnsi="Arial" w:cs="Arial"/>
          <w:b/>
          <w:sz w:val="22"/>
          <w:szCs w:val="22"/>
        </w:rPr>
        <w:t xml:space="preserve">Figure </w:t>
      </w:r>
      <w:r>
        <w:rPr>
          <w:rFonts w:ascii="Arial" w:hAnsi="Arial" w:cs="Arial"/>
          <w:b/>
          <w:sz w:val="22"/>
          <w:szCs w:val="22"/>
        </w:rPr>
        <w:t>1</w:t>
      </w:r>
      <w:r w:rsidRPr="00C26F46">
        <w:rPr>
          <w:rFonts w:ascii="Arial" w:hAnsi="Arial" w:cs="Arial"/>
          <w:b/>
          <w:sz w:val="22"/>
          <w:szCs w:val="22"/>
        </w:rPr>
        <w:t>. Cost-Effectiveness Acceptability Curve</w:t>
      </w:r>
      <w:r>
        <w:rPr>
          <w:rFonts w:ascii="Arial" w:hAnsi="Arial" w:cs="Arial"/>
          <w:b/>
          <w:sz w:val="22"/>
          <w:szCs w:val="22"/>
        </w:rPr>
        <w:t>s</w:t>
      </w:r>
      <w:r w:rsidRPr="00C26F46">
        <w:rPr>
          <w:rFonts w:ascii="Arial" w:hAnsi="Arial" w:cs="Arial"/>
          <w:b/>
          <w:sz w:val="22"/>
          <w:szCs w:val="22"/>
        </w:rPr>
        <w:t xml:space="preserve"> for the </w:t>
      </w:r>
      <w:r>
        <w:rPr>
          <w:rFonts w:ascii="Arial" w:hAnsi="Arial" w:cs="Arial"/>
          <w:b/>
          <w:sz w:val="22"/>
          <w:szCs w:val="22"/>
        </w:rPr>
        <w:t>Mailed Reminder Interventions Relative to Usual Care By Perspective</w:t>
      </w:r>
    </w:p>
    <w:p w14:paraId="7D458CF2" w14:textId="77777777" w:rsidR="00A1311D" w:rsidRPr="00C26F46" w:rsidRDefault="00A1311D" w:rsidP="00A1311D">
      <w:pPr>
        <w:rPr>
          <w:rFonts w:ascii="Arial" w:hAnsi="Arial" w:cs="Arial"/>
          <w:b/>
          <w:sz w:val="22"/>
          <w:szCs w:val="22"/>
        </w:rPr>
      </w:pPr>
    </w:p>
    <w:p w14:paraId="703D24AF" w14:textId="77777777" w:rsidR="00A1311D" w:rsidRPr="00C26F46" w:rsidRDefault="00A1311D" w:rsidP="00A1311D">
      <w:pPr>
        <w:rPr>
          <w:rFonts w:ascii="Arial" w:hAnsi="Arial" w:cs="Arial"/>
          <w:b/>
          <w:sz w:val="22"/>
          <w:szCs w:val="22"/>
        </w:rPr>
      </w:pPr>
      <w:r w:rsidRPr="00CF206F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262487F" wp14:editId="3F843476">
            <wp:extent cx="3884532" cy="2290039"/>
            <wp:effectExtent l="0" t="0" r="14605" b="8890"/>
            <wp:docPr id="1" name="Char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CF206F">
        <w:rPr>
          <w:rFonts w:ascii="Arial" w:hAnsi="Arial" w:cs="Arial"/>
          <w:noProof/>
        </w:rPr>
        <w:drawing>
          <wp:inline distT="0" distB="0" distL="0" distR="0" wp14:anchorId="4DDD6450" wp14:editId="415E3BE9">
            <wp:extent cx="3817787" cy="2291784"/>
            <wp:effectExtent l="0" t="0" r="17780" b="6985"/>
            <wp:docPr id="4" name="Char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4B548AE" w14:textId="77777777" w:rsidR="00A1311D" w:rsidRPr="00C26F46" w:rsidRDefault="00A1311D" w:rsidP="00A1311D">
      <w:pPr>
        <w:rPr>
          <w:rFonts w:ascii="Arial" w:hAnsi="Arial" w:cs="Arial"/>
          <w:b/>
          <w:sz w:val="22"/>
          <w:szCs w:val="22"/>
        </w:rPr>
      </w:pPr>
    </w:p>
    <w:p w14:paraId="69B225D5" w14:textId="77777777" w:rsidR="00A1311D" w:rsidRPr="00C26F46" w:rsidRDefault="00A1311D" w:rsidP="00A1311D">
      <w:pPr>
        <w:rPr>
          <w:rFonts w:ascii="Arial" w:hAnsi="Arial" w:cs="Arial"/>
          <w:b/>
          <w:sz w:val="22"/>
          <w:szCs w:val="22"/>
        </w:rPr>
      </w:pPr>
      <w:r w:rsidRPr="00C26F46">
        <w:rPr>
          <w:rFonts w:ascii="Arial" w:hAnsi="Arial" w:cs="Arial"/>
          <w:b/>
          <w:sz w:val="22"/>
          <w:szCs w:val="22"/>
        </w:rPr>
        <w:t xml:space="preserve"> </w:t>
      </w:r>
    </w:p>
    <w:p w14:paraId="59D65040" w14:textId="77777777" w:rsidR="00A1311D" w:rsidRDefault="00A1311D"/>
    <w:sectPr w:rsidR="00A13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1D"/>
    <w:rsid w:val="00A1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70EB"/>
  <w15:chartTrackingRefBased/>
  <w15:docId w15:val="{9D3221D7-225F-417C-AC2A-53826E14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Users\meghan\Desktop\MFIT%20CEA%20CB%20Results%202019-03-16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eghan\Desktop\MFIT%20CEA%20CB%20Results%202019-03-16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000" b="1">
                <a:solidFill>
                  <a:sysClr val="windowText" lastClr="000000"/>
                </a:solidFill>
              </a:rPr>
              <a:t>Medicaid/State</a:t>
            </a:r>
            <a:r>
              <a:rPr lang="en-US" sz="1000" b="1" baseline="0">
                <a:solidFill>
                  <a:sysClr val="windowText" lastClr="000000"/>
                </a:solidFill>
              </a:rPr>
              <a:t> Perspective</a:t>
            </a:r>
            <a:endParaRPr lang="en-US" sz="10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'Medicaid All'!$J$1</c:f>
              <c:strCache>
                <c:ptCount val="1"/>
                <c:pt idx="0">
                  <c:v>Reminder+FIT vs. Usual Care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'Medicaid All'!$H$2:$H$52</c:f>
              <c:numCache>
                <c:formatCode>General</c:formatCode>
                <c:ptCount val="5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  <c:pt idx="25">
                  <c:v>250</c:v>
                </c:pt>
                <c:pt idx="26">
                  <c:v>260</c:v>
                </c:pt>
                <c:pt idx="27">
                  <c:v>270</c:v>
                </c:pt>
                <c:pt idx="28">
                  <c:v>280</c:v>
                </c:pt>
                <c:pt idx="29">
                  <c:v>290</c:v>
                </c:pt>
                <c:pt idx="30">
                  <c:v>300</c:v>
                </c:pt>
                <c:pt idx="31">
                  <c:v>310</c:v>
                </c:pt>
                <c:pt idx="32">
                  <c:v>320</c:v>
                </c:pt>
                <c:pt idx="33">
                  <c:v>330</c:v>
                </c:pt>
                <c:pt idx="34">
                  <c:v>340</c:v>
                </c:pt>
                <c:pt idx="35">
                  <c:v>350</c:v>
                </c:pt>
                <c:pt idx="36">
                  <c:v>360</c:v>
                </c:pt>
                <c:pt idx="37">
                  <c:v>370</c:v>
                </c:pt>
                <c:pt idx="38">
                  <c:v>380</c:v>
                </c:pt>
                <c:pt idx="39">
                  <c:v>390</c:v>
                </c:pt>
                <c:pt idx="40">
                  <c:v>400</c:v>
                </c:pt>
                <c:pt idx="41">
                  <c:v>410</c:v>
                </c:pt>
                <c:pt idx="42">
                  <c:v>420</c:v>
                </c:pt>
                <c:pt idx="43">
                  <c:v>430</c:v>
                </c:pt>
                <c:pt idx="44">
                  <c:v>440</c:v>
                </c:pt>
                <c:pt idx="45">
                  <c:v>450</c:v>
                </c:pt>
                <c:pt idx="46">
                  <c:v>460</c:v>
                </c:pt>
                <c:pt idx="47">
                  <c:v>470</c:v>
                </c:pt>
                <c:pt idx="48">
                  <c:v>480</c:v>
                </c:pt>
                <c:pt idx="49">
                  <c:v>490</c:v>
                </c:pt>
                <c:pt idx="50">
                  <c:v>500</c:v>
                </c:pt>
              </c:numCache>
            </c:numRef>
          </c:cat>
          <c:val>
            <c:numRef>
              <c:f>'Medicaid All'!$J$2:$J$52</c:f>
              <c:numCache>
                <c:formatCode>General</c:formatCode>
                <c:ptCount val="51"/>
                <c:pt idx="0" formatCode="0.00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5.0000000000000001E-3</c:v>
                </c:pt>
                <c:pt idx="8">
                  <c:v>2.7E-2</c:v>
                </c:pt>
                <c:pt idx="9">
                  <c:v>8.8999999999999996E-2</c:v>
                </c:pt>
                <c:pt idx="10">
                  <c:v>0.182</c:v>
                </c:pt>
                <c:pt idx="11">
                  <c:v>0.30399999999999999</c:v>
                </c:pt>
                <c:pt idx="12">
                  <c:v>0.43099999999999999</c:v>
                </c:pt>
                <c:pt idx="13">
                  <c:v>0.57499999999999996</c:v>
                </c:pt>
                <c:pt idx="14">
                  <c:v>0.70099999999999996</c:v>
                </c:pt>
                <c:pt idx="15">
                  <c:v>0.80400000000000005</c:v>
                </c:pt>
                <c:pt idx="16">
                  <c:v>0.874</c:v>
                </c:pt>
                <c:pt idx="17">
                  <c:v>0.93</c:v>
                </c:pt>
                <c:pt idx="18">
                  <c:v>0.96199999999999997</c:v>
                </c:pt>
                <c:pt idx="19">
                  <c:v>0.97499999999999998</c:v>
                </c:pt>
                <c:pt idx="20">
                  <c:v>0.98799999999999999</c:v>
                </c:pt>
                <c:pt idx="21">
                  <c:v>0.99299999999999999</c:v>
                </c:pt>
                <c:pt idx="22">
                  <c:v>0.998</c:v>
                </c:pt>
                <c:pt idx="23">
                  <c:v>0.999</c:v>
                </c:pt>
                <c:pt idx="24">
                  <c:v>0.999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D44-43AF-BBFB-7085998D1A24}"/>
            </c:ext>
          </c:extLst>
        </c:ser>
        <c:ser>
          <c:idx val="2"/>
          <c:order val="1"/>
          <c:tx>
            <c:strRef>
              <c:f>'Medicaid All'!$K$1</c:f>
              <c:strCache>
                <c:ptCount val="1"/>
                <c:pt idx="0">
                  <c:v>Reminder Only vs. Usual Care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'Medicaid All'!$H$2:$H$52</c:f>
              <c:numCache>
                <c:formatCode>General</c:formatCode>
                <c:ptCount val="5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  <c:pt idx="25">
                  <c:v>250</c:v>
                </c:pt>
                <c:pt idx="26">
                  <c:v>260</c:v>
                </c:pt>
                <c:pt idx="27">
                  <c:v>270</c:v>
                </c:pt>
                <c:pt idx="28">
                  <c:v>280</c:v>
                </c:pt>
                <c:pt idx="29">
                  <c:v>290</c:v>
                </c:pt>
                <c:pt idx="30">
                  <c:v>300</c:v>
                </c:pt>
                <c:pt idx="31">
                  <c:v>310</c:v>
                </c:pt>
                <c:pt idx="32">
                  <c:v>320</c:v>
                </c:pt>
                <c:pt idx="33">
                  <c:v>330</c:v>
                </c:pt>
                <c:pt idx="34">
                  <c:v>340</c:v>
                </c:pt>
                <c:pt idx="35">
                  <c:v>350</c:v>
                </c:pt>
                <c:pt idx="36">
                  <c:v>360</c:v>
                </c:pt>
                <c:pt idx="37">
                  <c:v>370</c:v>
                </c:pt>
                <c:pt idx="38">
                  <c:v>380</c:v>
                </c:pt>
                <c:pt idx="39">
                  <c:v>390</c:v>
                </c:pt>
                <c:pt idx="40">
                  <c:v>400</c:v>
                </c:pt>
                <c:pt idx="41">
                  <c:v>410</c:v>
                </c:pt>
                <c:pt idx="42">
                  <c:v>420</c:v>
                </c:pt>
                <c:pt idx="43">
                  <c:v>430</c:v>
                </c:pt>
                <c:pt idx="44">
                  <c:v>440</c:v>
                </c:pt>
                <c:pt idx="45">
                  <c:v>450</c:v>
                </c:pt>
                <c:pt idx="46">
                  <c:v>460</c:v>
                </c:pt>
                <c:pt idx="47">
                  <c:v>470</c:v>
                </c:pt>
                <c:pt idx="48">
                  <c:v>480</c:v>
                </c:pt>
                <c:pt idx="49">
                  <c:v>490</c:v>
                </c:pt>
                <c:pt idx="50">
                  <c:v>500</c:v>
                </c:pt>
              </c:numCache>
            </c:numRef>
          </c:cat>
          <c:val>
            <c:numRef>
              <c:f>'Medicaid All'!$K$2:$K$52</c:f>
              <c:numCache>
                <c:formatCode>General</c:formatCode>
                <c:ptCount val="51"/>
                <c:pt idx="0" formatCode="0.00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3.0000000000000001E-3</c:v>
                </c:pt>
                <c:pt idx="18">
                  <c:v>5.0000000000000001E-3</c:v>
                </c:pt>
                <c:pt idx="19">
                  <c:v>0.01</c:v>
                </c:pt>
                <c:pt idx="20">
                  <c:v>2.4E-2</c:v>
                </c:pt>
                <c:pt idx="21">
                  <c:v>3.9E-2</c:v>
                </c:pt>
                <c:pt idx="22">
                  <c:v>4.9000000000000002E-2</c:v>
                </c:pt>
                <c:pt idx="23">
                  <c:v>7.0000000000000007E-2</c:v>
                </c:pt>
                <c:pt idx="24">
                  <c:v>8.5999999999999993E-2</c:v>
                </c:pt>
                <c:pt idx="25">
                  <c:v>0.113</c:v>
                </c:pt>
                <c:pt idx="26">
                  <c:v>0.13600000000000001</c:v>
                </c:pt>
                <c:pt idx="27">
                  <c:v>0.16300000000000001</c:v>
                </c:pt>
                <c:pt idx="28">
                  <c:v>0.19700000000000001</c:v>
                </c:pt>
                <c:pt idx="29">
                  <c:v>0.224</c:v>
                </c:pt>
                <c:pt idx="30">
                  <c:v>0.25900000000000001</c:v>
                </c:pt>
                <c:pt idx="31">
                  <c:v>0.28699999999999998</c:v>
                </c:pt>
                <c:pt idx="32">
                  <c:v>0.32200000000000001</c:v>
                </c:pt>
                <c:pt idx="33">
                  <c:v>0.36</c:v>
                </c:pt>
                <c:pt idx="34">
                  <c:v>0.39</c:v>
                </c:pt>
                <c:pt idx="35">
                  <c:v>0.41699999999999998</c:v>
                </c:pt>
                <c:pt idx="36">
                  <c:v>0.46</c:v>
                </c:pt>
                <c:pt idx="37">
                  <c:v>0.501</c:v>
                </c:pt>
                <c:pt idx="38">
                  <c:v>0.52800000000000002</c:v>
                </c:pt>
                <c:pt idx="39">
                  <c:v>0.56000000000000005</c:v>
                </c:pt>
                <c:pt idx="40">
                  <c:v>0.58599999999999997</c:v>
                </c:pt>
                <c:pt idx="41">
                  <c:v>0.624</c:v>
                </c:pt>
                <c:pt idx="42">
                  <c:v>0.65100000000000002</c:v>
                </c:pt>
                <c:pt idx="43">
                  <c:v>0.68200000000000005</c:v>
                </c:pt>
                <c:pt idx="44">
                  <c:v>0.72099999999999997</c:v>
                </c:pt>
                <c:pt idx="45">
                  <c:v>0.747</c:v>
                </c:pt>
                <c:pt idx="46">
                  <c:v>0.78300000000000003</c:v>
                </c:pt>
                <c:pt idx="47">
                  <c:v>0.80100000000000005</c:v>
                </c:pt>
                <c:pt idx="48">
                  <c:v>0.82199999999999995</c:v>
                </c:pt>
                <c:pt idx="49">
                  <c:v>0.84199999999999997</c:v>
                </c:pt>
                <c:pt idx="50">
                  <c:v>0.86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D44-43AF-BBFB-7085998D1A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0130336"/>
        <c:axId val="1459988288"/>
      </c:lineChart>
      <c:catAx>
        <c:axId val="14601303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Willingness-to-Pay ($ / Person Screened)</a:t>
                </a:r>
              </a:p>
            </c:rich>
          </c:tx>
          <c:layout>
            <c:manualLayout>
              <c:xMode val="edge"/>
              <c:yMode val="edge"/>
              <c:x val="0.27432581829154407"/>
              <c:y val="0.763163549638951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&quot;$&quot;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459988288"/>
        <c:crosses val="autoZero"/>
        <c:auto val="1"/>
        <c:lblAlgn val="ctr"/>
        <c:lblOffset val="100"/>
        <c:tickLblSkip val="10"/>
        <c:tickMarkSkip val="10"/>
        <c:noMultiLvlLbl val="0"/>
      </c:catAx>
      <c:valAx>
        <c:axId val="145998828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Probability of Cost-Effectiveness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460130336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084292348071879E-2"/>
          <c:y val="0.86749524893298058"/>
          <c:w val="0.96060064607308704"/>
          <c:h val="0.110662741602148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0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Health</a:t>
            </a:r>
            <a:r>
              <a:rPr lang="en-US" sz="10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Clinic/Facility Perspective</a:t>
            </a:r>
            <a:endParaRPr lang="en-US" sz="10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'Clinic All'!$J$1</c:f>
              <c:strCache>
                <c:ptCount val="1"/>
                <c:pt idx="0">
                  <c:v>Reminder+FIT vs. Usual Care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'Clinic All'!$H$2:$H$52</c:f>
              <c:numCache>
                <c:formatCode>General</c:formatCode>
                <c:ptCount val="5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  <c:pt idx="25">
                  <c:v>250</c:v>
                </c:pt>
                <c:pt idx="26">
                  <c:v>260</c:v>
                </c:pt>
                <c:pt idx="27">
                  <c:v>270</c:v>
                </c:pt>
                <c:pt idx="28">
                  <c:v>280</c:v>
                </c:pt>
                <c:pt idx="29">
                  <c:v>290</c:v>
                </c:pt>
                <c:pt idx="30">
                  <c:v>300</c:v>
                </c:pt>
                <c:pt idx="31">
                  <c:v>310</c:v>
                </c:pt>
                <c:pt idx="32">
                  <c:v>320</c:v>
                </c:pt>
                <c:pt idx="33">
                  <c:v>330</c:v>
                </c:pt>
                <c:pt idx="34">
                  <c:v>340</c:v>
                </c:pt>
                <c:pt idx="35">
                  <c:v>350</c:v>
                </c:pt>
                <c:pt idx="36">
                  <c:v>360</c:v>
                </c:pt>
                <c:pt idx="37">
                  <c:v>370</c:v>
                </c:pt>
                <c:pt idx="38">
                  <c:v>380</c:v>
                </c:pt>
                <c:pt idx="39">
                  <c:v>390</c:v>
                </c:pt>
                <c:pt idx="40">
                  <c:v>400</c:v>
                </c:pt>
                <c:pt idx="41">
                  <c:v>410</c:v>
                </c:pt>
                <c:pt idx="42">
                  <c:v>420</c:v>
                </c:pt>
                <c:pt idx="43">
                  <c:v>430</c:v>
                </c:pt>
                <c:pt idx="44">
                  <c:v>440</c:v>
                </c:pt>
                <c:pt idx="45">
                  <c:v>450</c:v>
                </c:pt>
                <c:pt idx="46">
                  <c:v>460</c:v>
                </c:pt>
                <c:pt idx="47">
                  <c:v>470</c:v>
                </c:pt>
                <c:pt idx="48">
                  <c:v>480</c:v>
                </c:pt>
                <c:pt idx="49">
                  <c:v>490</c:v>
                </c:pt>
                <c:pt idx="50">
                  <c:v>500</c:v>
                </c:pt>
              </c:numCache>
            </c:numRef>
          </c:cat>
          <c:val>
            <c:numRef>
              <c:f>'Clinic All'!$J$2:$J$52</c:f>
              <c:numCache>
                <c:formatCode>General</c:formatCode>
                <c:ptCount val="51"/>
                <c:pt idx="0" formatCode="0.00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1.6E-2</c:v>
                </c:pt>
                <c:pt idx="8">
                  <c:v>0.127</c:v>
                </c:pt>
                <c:pt idx="9">
                  <c:v>0.30099999999999999</c:v>
                </c:pt>
                <c:pt idx="10">
                  <c:v>0.44800000000000001</c:v>
                </c:pt>
                <c:pt idx="11">
                  <c:v>0.61699999999999999</c:v>
                </c:pt>
                <c:pt idx="12">
                  <c:v>0.79600000000000004</c:v>
                </c:pt>
                <c:pt idx="13">
                  <c:v>0.94099999999999995</c:v>
                </c:pt>
                <c:pt idx="14">
                  <c:v>0.99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19-409F-B3AB-CAA3267071DD}"/>
            </c:ext>
          </c:extLst>
        </c:ser>
        <c:ser>
          <c:idx val="2"/>
          <c:order val="1"/>
          <c:tx>
            <c:strRef>
              <c:f>'Clinic All'!$K$1</c:f>
              <c:strCache>
                <c:ptCount val="1"/>
                <c:pt idx="0">
                  <c:v>Reminder Only vs. Usual Care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'Clinic All'!$H$2:$H$52</c:f>
              <c:numCache>
                <c:formatCode>General</c:formatCode>
                <c:ptCount val="5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  <c:pt idx="25">
                  <c:v>250</c:v>
                </c:pt>
                <c:pt idx="26">
                  <c:v>260</c:v>
                </c:pt>
                <c:pt idx="27">
                  <c:v>270</c:v>
                </c:pt>
                <c:pt idx="28">
                  <c:v>280</c:v>
                </c:pt>
                <c:pt idx="29">
                  <c:v>290</c:v>
                </c:pt>
                <c:pt idx="30">
                  <c:v>300</c:v>
                </c:pt>
                <c:pt idx="31">
                  <c:v>310</c:v>
                </c:pt>
                <c:pt idx="32">
                  <c:v>320</c:v>
                </c:pt>
                <c:pt idx="33">
                  <c:v>330</c:v>
                </c:pt>
                <c:pt idx="34">
                  <c:v>340</c:v>
                </c:pt>
                <c:pt idx="35">
                  <c:v>350</c:v>
                </c:pt>
                <c:pt idx="36">
                  <c:v>360</c:v>
                </c:pt>
                <c:pt idx="37">
                  <c:v>370</c:v>
                </c:pt>
                <c:pt idx="38">
                  <c:v>380</c:v>
                </c:pt>
                <c:pt idx="39">
                  <c:v>390</c:v>
                </c:pt>
                <c:pt idx="40">
                  <c:v>400</c:v>
                </c:pt>
                <c:pt idx="41">
                  <c:v>410</c:v>
                </c:pt>
                <c:pt idx="42">
                  <c:v>420</c:v>
                </c:pt>
                <c:pt idx="43">
                  <c:v>430</c:v>
                </c:pt>
                <c:pt idx="44">
                  <c:v>440</c:v>
                </c:pt>
                <c:pt idx="45">
                  <c:v>450</c:v>
                </c:pt>
                <c:pt idx="46">
                  <c:v>460</c:v>
                </c:pt>
                <c:pt idx="47">
                  <c:v>470</c:v>
                </c:pt>
                <c:pt idx="48">
                  <c:v>480</c:v>
                </c:pt>
                <c:pt idx="49">
                  <c:v>490</c:v>
                </c:pt>
                <c:pt idx="50">
                  <c:v>500</c:v>
                </c:pt>
              </c:numCache>
            </c:numRef>
          </c:cat>
          <c:val>
            <c:numRef>
              <c:f>'Clinic All'!$K$2:$K$52</c:f>
              <c:numCache>
                <c:formatCode>General</c:formatCode>
                <c:ptCount val="51"/>
                <c:pt idx="0" formatCode="0.00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3.0000000000000001E-3</c:v>
                </c:pt>
                <c:pt idx="9">
                  <c:v>0.02</c:v>
                </c:pt>
                <c:pt idx="10">
                  <c:v>9.0999999999999998E-2</c:v>
                </c:pt>
                <c:pt idx="11">
                  <c:v>0.19900000000000001</c:v>
                </c:pt>
                <c:pt idx="12">
                  <c:v>0.32700000000000001</c:v>
                </c:pt>
                <c:pt idx="13">
                  <c:v>0.47399999999999998</c:v>
                </c:pt>
                <c:pt idx="14">
                  <c:v>0.58899999999999997</c:v>
                </c:pt>
                <c:pt idx="15">
                  <c:v>0.68700000000000006</c:v>
                </c:pt>
                <c:pt idx="16">
                  <c:v>0.77400000000000002</c:v>
                </c:pt>
                <c:pt idx="17">
                  <c:v>0.82899999999999996</c:v>
                </c:pt>
                <c:pt idx="18">
                  <c:v>0.874</c:v>
                </c:pt>
                <c:pt idx="19">
                  <c:v>0.89900000000000002</c:v>
                </c:pt>
                <c:pt idx="20">
                  <c:v>0.92300000000000004</c:v>
                </c:pt>
                <c:pt idx="21">
                  <c:v>0.94599999999999995</c:v>
                </c:pt>
                <c:pt idx="22">
                  <c:v>0.95699999999999996</c:v>
                </c:pt>
                <c:pt idx="23">
                  <c:v>0.96599999999999997</c:v>
                </c:pt>
                <c:pt idx="24">
                  <c:v>0.97499999999999998</c:v>
                </c:pt>
                <c:pt idx="25">
                  <c:v>0.98199999999999998</c:v>
                </c:pt>
                <c:pt idx="26">
                  <c:v>0.98699999999999999</c:v>
                </c:pt>
                <c:pt idx="27">
                  <c:v>0.99099999999999999</c:v>
                </c:pt>
                <c:pt idx="28">
                  <c:v>0.996</c:v>
                </c:pt>
                <c:pt idx="29">
                  <c:v>0.998</c:v>
                </c:pt>
                <c:pt idx="30">
                  <c:v>0.998</c:v>
                </c:pt>
                <c:pt idx="31">
                  <c:v>0.999</c:v>
                </c:pt>
                <c:pt idx="32">
                  <c:v>0.999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19-409F-B3AB-CAA3267071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4655535"/>
        <c:axId val="402632271"/>
      </c:lineChart>
      <c:catAx>
        <c:axId val="47465553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 i="0" baseline="0">
                    <a:solidFill>
                      <a:sysClr val="windowText" lastClr="000000"/>
                    </a:solidFill>
                    <a:effectLst/>
                    <a:latin typeface="Arial" panose="020B0604020202020204" pitchFamily="34" charset="0"/>
                    <a:cs typeface="Arial" panose="020B0604020202020204" pitchFamily="34" charset="0"/>
                  </a:rPr>
                  <a:t>Willingness-to-Pay ($ / Person Screened)</a:t>
                </a:r>
                <a:endParaRPr lang="en-US" sz="900">
                  <a:solidFill>
                    <a:sysClr val="windowText" lastClr="000000"/>
                  </a:solidFill>
                  <a:effectLst/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24837490373583543"/>
              <c:y val="0.771733832522804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&quot;$&quot;#,##0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02632271"/>
        <c:crosses val="autoZero"/>
        <c:auto val="1"/>
        <c:lblAlgn val="ctr"/>
        <c:lblOffset val="100"/>
        <c:tickLblSkip val="10"/>
        <c:tickMarkSkip val="100"/>
        <c:noMultiLvlLbl val="0"/>
      </c:catAx>
      <c:valAx>
        <c:axId val="402632271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 i="0" baseline="0">
                    <a:solidFill>
                      <a:sysClr val="windowText" lastClr="000000"/>
                    </a:solidFill>
                    <a:effectLst/>
                    <a:latin typeface="Arial" panose="020B0604020202020204" pitchFamily="34" charset="0"/>
                    <a:cs typeface="Arial" panose="020B0604020202020204" pitchFamily="34" charset="0"/>
                  </a:rPr>
                  <a:t>Probability of Cost-Effectiveness</a:t>
                </a:r>
                <a:endParaRPr lang="en-US" sz="900">
                  <a:solidFill>
                    <a:sysClr val="windowText" lastClr="000000"/>
                  </a:solidFill>
                  <a:effectLst/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4655535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5881464347852673E-2"/>
          <c:y val="0.87132784634742"/>
          <c:w val="0.9"/>
          <c:h val="9.09464732429869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ce</cp:lastModifiedBy>
  <cp:revision>1</cp:revision>
  <dcterms:created xsi:type="dcterms:W3CDTF">2020-05-14T16:19:00Z</dcterms:created>
  <dcterms:modified xsi:type="dcterms:W3CDTF">2020-05-14T16:20:00Z</dcterms:modified>
</cp:coreProperties>
</file>