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F22D" w14:textId="77777777" w:rsidR="009920C2" w:rsidRDefault="009920C2" w:rsidP="009920C2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Supplemental Content</w:t>
      </w:r>
    </w:p>
    <w:p w14:paraId="723579DE" w14:textId="77777777" w:rsidR="009920C2" w:rsidRDefault="009920C2" w:rsidP="009920C2">
      <w:pPr>
        <w:spacing w:after="0" w:line="360" w:lineRule="auto"/>
        <w:outlineLvl w:val="1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E75C2">
        <w:rPr>
          <w:rFonts w:ascii="Times" w:hAnsi="Times"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07A73572" wp14:editId="34BA0BD7">
            <wp:simplePos x="0" y="0"/>
            <wp:positionH relativeFrom="column">
              <wp:posOffset>-19050</wp:posOffset>
            </wp:positionH>
            <wp:positionV relativeFrom="paragraph">
              <wp:posOffset>343535</wp:posOffset>
            </wp:positionV>
            <wp:extent cx="6162675" cy="5473065"/>
            <wp:effectExtent l="0" t="0" r="0" b="635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547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</w:rPr>
        <w:t xml:space="preserve">Supplemental Figure 1. </w:t>
      </w:r>
      <w:r>
        <w:rPr>
          <w:rFonts w:ascii="Arial" w:hAnsi="Arial" w:cs="Arial"/>
          <w:bCs/>
          <w:color w:val="000000" w:themeColor="text1"/>
        </w:rPr>
        <w:t>Participating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local health departments</w:t>
      </w:r>
    </w:p>
    <w:p w14:paraId="08912B78" w14:textId="77777777" w:rsidR="009920C2" w:rsidRDefault="009920C2" w:rsidP="009920C2">
      <w:pPr>
        <w:spacing w:after="0" w:line="360" w:lineRule="auto"/>
        <w:rPr>
          <w:rFonts w:ascii="Arial" w:eastAsia="Arial" w:hAnsi="Arial" w:cs="Arial"/>
          <w:color w:val="000000" w:themeColor="text1"/>
          <w:sz w:val="10"/>
          <w:szCs w:val="1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0288" behindDoc="1" locked="0" layoutInCell="1" allowOverlap="1" wp14:anchorId="6064FE23" wp14:editId="1D76660D">
            <wp:simplePos x="0" y="0"/>
            <wp:positionH relativeFrom="column">
              <wp:posOffset>128905</wp:posOffset>
            </wp:positionH>
            <wp:positionV relativeFrom="paragraph">
              <wp:posOffset>1102360</wp:posOffset>
            </wp:positionV>
            <wp:extent cx="5848350" cy="4352925"/>
            <wp:effectExtent l="0" t="0" r="0" b="9525"/>
            <wp:wrapSquare wrapText="bothSides"/>
            <wp:docPr id="5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D4AC6" w14:textId="77777777" w:rsidR="009920C2" w:rsidRDefault="009920C2" w:rsidP="009920C2">
      <w:pPr>
        <w:spacing w:after="0" w:line="360" w:lineRule="auto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7E6A5FE6" w14:textId="77777777" w:rsidR="009920C2" w:rsidRDefault="009920C2" w:rsidP="009920C2">
      <w:pPr>
        <w:spacing w:after="0" w:line="360" w:lineRule="auto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51EDEFD1" w14:textId="77777777" w:rsidR="009920C2" w:rsidRPr="00FB0A93" w:rsidRDefault="009920C2" w:rsidP="009920C2">
      <w:pPr>
        <w:spacing w:after="0" w:line="360" w:lineRule="auto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3016091B" w14:textId="77777777" w:rsidR="009920C2" w:rsidRDefault="009920C2" w:rsidP="009920C2">
      <w:pPr>
        <w:spacing w:after="0"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Fifteen local health department TB clinics within 13 cities across 11 US states. </w:t>
      </w:r>
    </w:p>
    <w:p w14:paraId="58682507" w14:textId="77777777" w:rsidR="009920C2" w:rsidRDefault="009920C2" w:rsidP="009920C2">
      <w:pPr>
        <w:spacing w:line="360" w:lineRule="auto"/>
        <w:rPr>
          <w:rFonts w:ascii="Arial" w:hAnsi="Arial" w:cs="Arial"/>
          <w:b/>
        </w:rPr>
      </w:pPr>
    </w:p>
    <w:p w14:paraId="2E615DAD" w14:textId="77777777" w:rsidR="009920C2" w:rsidRDefault="009920C2" w:rsidP="009920C2">
      <w:pPr>
        <w:spacing w:line="360" w:lineRule="auto"/>
        <w:rPr>
          <w:rFonts w:ascii="Arial" w:hAnsi="Arial" w:cs="Arial"/>
          <w:b/>
        </w:rPr>
      </w:pPr>
    </w:p>
    <w:p w14:paraId="68539168" w14:textId="77777777" w:rsidR="009920C2" w:rsidRDefault="009920C2" w:rsidP="009920C2">
      <w:pPr>
        <w:spacing w:line="259" w:lineRule="auto"/>
        <w:rPr>
          <w:rFonts w:ascii="Arial" w:hAnsi="Arial" w:cs="Arial"/>
          <w:sz w:val="20"/>
          <w:szCs w:val="20"/>
        </w:rPr>
        <w:sectPr w:rsidR="009920C2" w:rsidSect="005942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FE41A2" w14:textId="77777777" w:rsidR="009920C2" w:rsidRPr="00F51A02" w:rsidRDefault="009920C2" w:rsidP="009920C2">
      <w:pPr>
        <w:spacing w:after="0" w:line="360" w:lineRule="auto"/>
        <w:ind w:hanging="360"/>
        <w:outlineLvl w:val="1"/>
        <w:rPr>
          <w:rFonts w:ascii="Arial" w:hAnsi="Arial" w:cs="Arial"/>
          <w:sz w:val="20"/>
          <w:szCs w:val="20"/>
        </w:rPr>
      </w:pPr>
      <w:r w:rsidRPr="00C807C3">
        <w:rPr>
          <w:rFonts w:ascii="Arial" w:hAnsi="Arial" w:cs="Arial"/>
          <w:b/>
        </w:rPr>
        <w:lastRenderedPageBreak/>
        <w:t xml:space="preserve">Supplemental Table </w:t>
      </w:r>
      <w:r>
        <w:rPr>
          <w:rFonts w:ascii="Arial" w:hAnsi="Arial" w:cs="Arial"/>
          <w:b/>
        </w:rPr>
        <w:t>1</w:t>
      </w:r>
      <w:r w:rsidRPr="00C807C3">
        <w:rPr>
          <w:rFonts w:ascii="Arial" w:hAnsi="Arial" w:cs="Arial"/>
          <w:b/>
        </w:rPr>
        <w:t>.</w:t>
      </w:r>
      <w:r w:rsidRPr="00C807C3">
        <w:rPr>
          <w:rFonts w:ascii="Arial" w:hAnsi="Arial" w:cs="Arial"/>
        </w:rPr>
        <w:t xml:space="preserve"> Sit</w:t>
      </w:r>
      <w:r>
        <w:rPr>
          <w:rFonts w:ascii="Arial" w:hAnsi="Arial" w:cs="Arial"/>
        </w:rPr>
        <w:t>e-</w:t>
      </w:r>
      <w:r w:rsidRPr="00C807C3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>patient and testing characteristics</w:t>
      </w:r>
    </w:p>
    <w:tbl>
      <w:tblPr>
        <w:tblStyle w:val="PlainTable1"/>
        <w:tblpPr w:leftFromText="180" w:rightFromText="180" w:vertAnchor="text" w:horzAnchor="margin" w:tblpX="-365" w:tblpY="95"/>
        <w:tblW w:w="13445" w:type="dxa"/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2070"/>
        <w:gridCol w:w="2070"/>
        <w:gridCol w:w="2070"/>
        <w:gridCol w:w="2070"/>
        <w:gridCol w:w="1930"/>
      </w:tblGrid>
      <w:tr w:rsidR="009920C2" w:rsidRPr="00C807C3" w14:paraId="4993D272" w14:textId="77777777" w:rsidTr="003E7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D28D18B" w14:textId="77777777" w:rsidR="009920C2" w:rsidRPr="00C807C3" w:rsidRDefault="009920C2" w:rsidP="003E72B0">
            <w:pPr>
              <w:rPr>
                <w:rFonts w:ascii="Arial" w:eastAsia="MS Mincho" w:hAnsi="Arial" w:cs="Arial"/>
              </w:rPr>
            </w:pPr>
            <w:r w:rsidRPr="00C807C3">
              <w:rPr>
                <w:rFonts w:ascii="Arial" w:eastAsia="Times New Roman" w:hAnsi="Arial" w:cs="Arial"/>
                <w:color w:val="111111"/>
              </w:rPr>
              <w:t>Study site</w:t>
            </w:r>
          </w:p>
        </w:tc>
        <w:tc>
          <w:tcPr>
            <w:tcW w:w="1350" w:type="dxa"/>
            <w:vAlign w:val="center"/>
          </w:tcPr>
          <w:p w14:paraId="21FBBEB4" w14:textId="77777777" w:rsidR="009920C2" w:rsidRPr="00A5018C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vertAlign w:val="superscript"/>
              </w:rPr>
            </w:pPr>
            <w:r w:rsidRPr="00C807C3">
              <w:rPr>
                <w:rFonts w:ascii="Arial" w:eastAsia="Times New Roman" w:hAnsi="Arial" w:cs="Arial"/>
                <w:color w:val="111111"/>
              </w:rPr>
              <w:t>N</w:t>
            </w:r>
            <w:r w:rsidRPr="00A5018C">
              <w:rPr>
                <w:rFonts w:ascii="Arial" w:eastAsia="Times New Roman" w:hAnsi="Arial" w:cs="Arial"/>
                <w:b w:val="0"/>
                <w:color w:val="111111"/>
                <w:vertAlign w:val="superscript"/>
              </w:rPr>
              <w:t>1</w:t>
            </w:r>
          </w:p>
        </w:tc>
        <w:tc>
          <w:tcPr>
            <w:tcW w:w="2070" w:type="dxa"/>
            <w:vAlign w:val="center"/>
          </w:tcPr>
          <w:p w14:paraId="51CFC6F2" w14:textId="77777777" w:rsidR="009920C2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11111"/>
              </w:rPr>
            </w:pPr>
            <w:r w:rsidRPr="00C807C3">
              <w:rPr>
                <w:rFonts w:ascii="Arial" w:eastAsia="Times New Roman" w:hAnsi="Arial" w:cs="Arial"/>
                <w:color w:val="111111"/>
              </w:rPr>
              <w:t>Non-US</w:t>
            </w:r>
            <w:r>
              <w:rPr>
                <w:rFonts w:ascii="Arial" w:eastAsia="Times New Roman" w:hAnsi="Arial" w:cs="Arial"/>
                <w:color w:val="111111"/>
              </w:rPr>
              <w:t>–</w:t>
            </w:r>
            <w:r w:rsidRPr="00C807C3">
              <w:rPr>
                <w:rFonts w:ascii="Arial" w:eastAsia="Times New Roman" w:hAnsi="Arial" w:cs="Arial"/>
                <w:color w:val="111111"/>
              </w:rPr>
              <w:t>born</w:t>
            </w:r>
          </w:p>
          <w:p w14:paraId="2B101DAA" w14:textId="77777777" w:rsidR="009920C2" w:rsidRPr="00C807C3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  <w:r w:rsidRPr="00C807C3">
              <w:rPr>
                <w:rFonts w:ascii="Arial" w:eastAsia="Times New Roman" w:hAnsi="Arial" w:cs="Arial"/>
                <w:color w:val="111111"/>
              </w:rPr>
              <w:t>n (%)</w:t>
            </w:r>
          </w:p>
        </w:tc>
        <w:tc>
          <w:tcPr>
            <w:tcW w:w="2070" w:type="dxa"/>
            <w:vAlign w:val="center"/>
          </w:tcPr>
          <w:p w14:paraId="244EBDE1" w14:textId="77777777" w:rsidR="009920C2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11111"/>
              </w:rPr>
            </w:pPr>
            <w:r w:rsidRPr="00C807C3">
              <w:rPr>
                <w:rFonts w:ascii="Arial" w:eastAsia="Times New Roman" w:hAnsi="Arial" w:cs="Arial"/>
                <w:color w:val="111111"/>
              </w:rPr>
              <w:t>F</w:t>
            </w:r>
            <w:r>
              <w:rPr>
                <w:rFonts w:ascii="Arial" w:eastAsia="Times New Roman" w:hAnsi="Arial" w:cs="Arial"/>
                <w:color w:val="111111"/>
              </w:rPr>
              <w:t>emale</w:t>
            </w:r>
          </w:p>
          <w:p w14:paraId="7BD72046" w14:textId="77777777" w:rsidR="009920C2" w:rsidRPr="00C807C3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  <w:r w:rsidRPr="00C807C3">
              <w:rPr>
                <w:rFonts w:ascii="Arial" w:eastAsia="Times New Roman" w:hAnsi="Arial" w:cs="Arial"/>
                <w:color w:val="111111"/>
              </w:rPr>
              <w:t>n (%)</w:t>
            </w:r>
          </w:p>
        </w:tc>
        <w:tc>
          <w:tcPr>
            <w:tcW w:w="2070" w:type="dxa"/>
            <w:vAlign w:val="center"/>
          </w:tcPr>
          <w:p w14:paraId="06FE1ED6" w14:textId="77777777" w:rsidR="009920C2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</w:rPr>
            </w:pPr>
            <w:r w:rsidRPr="70CC0700">
              <w:rPr>
                <w:rFonts w:ascii="Arial" w:eastAsia="Times New Roman" w:hAnsi="Arial" w:cs="Arial"/>
                <w:color w:val="44546A" w:themeColor="text2"/>
              </w:rPr>
              <w:t>TST</w:t>
            </w:r>
            <w:r>
              <w:rPr>
                <w:rFonts w:ascii="Arial" w:eastAsia="Times New Roman" w:hAnsi="Arial" w:cs="Arial"/>
                <w:color w:val="44546A" w:themeColor="text2"/>
              </w:rPr>
              <w:t xml:space="preserve"> (16,689)</w:t>
            </w:r>
          </w:p>
          <w:p w14:paraId="5DF19F87" w14:textId="77777777" w:rsidR="009920C2" w:rsidRPr="00C807C3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11111"/>
              </w:rPr>
            </w:pPr>
            <w:r w:rsidRPr="70CC0700">
              <w:rPr>
                <w:rFonts w:ascii="Arial" w:eastAsia="Times New Roman" w:hAnsi="Arial" w:cs="Arial"/>
                <w:color w:val="44546A" w:themeColor="text2"/>
              </w:rPr>
              <w:t>n (%)</w:t>
            </w:r>
            <w:r w:rsidRPr="70CC0700">
              <w:rPr>
                <w:rFonts w:ascii="Arial" w:eastAsia="Times New Roman" w:hAnsi="Arial" w:cs="Arial"/>
                <w:color w:val="44546A" w:themeColor="text2"/>
                <w:vertAlign w:val="superscript"/>
              </w:rPr>
              <w:t>2</w:t>
            </w:r>
          </w:p>
        </w:tc>
        <w:tc>
          <w:tcPr>
            <w:tcW w:w="2070" w:type="dxa"/>
            <w:vAlign w:val="center"/>
          </w:tcPr>
          <w:p w14:paraId="1981E931" w14:textId="77777777" w:rsidR="009920C2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</w:rPr>
              <w:t>QFT (6,993)</w:t>
            </w:r>
          </w:p>
          <w:p w14:paraId="27DBCCE7" w14:textId="77777777" w:rsidR="009920C2" w:rsidRPr="00C807C3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</w:rPr>
              <w:t>n (%)</w:t>
            </w:r>
            <w:r>
              <w:rPr>
                <w:rFonts w:ascii="Arial" w:eastAsia="Times New Roman" w:hAnsi="Arial" w:cs="Arial"/>
                <w:bCs w:val="0"/>
                <w:color w:val="000000"/>
                <w:vertAlign w:val="superscript"/>
              </w:rPr>
              <w:t>2</w:t>
            </w:r>
          </w:p>
        </w:tc>
        <w:tc>
          <w:tcPr>
            <w:tcW w:w="1930" w:type="dxa"/>
            <w:vAlign w:val="center"/>
          </w:tcPr>
          <w:p w14:paraId="36507410" w14:textId="77777777" w:rsidR="009920C2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</w:rPr>
            </w:pPr>
            <w:r w:rsidRPr="00C807C3">
              <w:rPr>
                <w:rFonts w:ascii="Arial" w:eastAsia="Times New Roman" w:hAnsi="Arial" w:cs="Arial"/>
                <w:bCs w:val="0"/>
                <w:color w:val="000000"/>
              </w:rPr>
              <w:t>T-SPOT</w:t>
            </w:r>
            <w:r>
              <w:rPr>
                <w:rFonts w:ascii="Arial" w:eastAsia="Times New Roman" w:hAnsi="Arial" w:cs="Arial"/>
                <w:bCs w:val="0"/>
                <w:color w:val="000000"/>
              </w:rPr>
              <w:t xml:space="preserve"> (1,934)</w:t>
            </w:r>
          </w:p>
          <w:p w14:paraId="478161DA" w14:textId="77777777" w:rsidR="009920C2" w:rsidRPr="00C807C3" w:rsidRDefault="009920C2" w:rsidP="003E7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</w:rPr>
              <w:t>n (%)</w:t>
            </w:r>
            <w:r>
              <w:rPr>
                <w:rFonts w:ascii="Arial" w:eastAsia="Times New Roman" w:hAnsi="Arial" w:cs="Arial"/>
                <w:bCs w:val="0"/>
                <w:color w:val="000000"/>
                <w:vertAlign w:val="superscript"/>
              </w:rPr>
              <w:t>2</w:t>
            </w:r>
          </w:p>
        </w:tc>
      </w:tr>
      <w:tr w:rsidR="009920C2" w:rsidRPr="00F51A02" w14:paraId="2676A4F6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6FD289E" w14:textId="77777777" w:rsidR="009920C2" w:rsidRPr="0065293F" w:rsidRDefault="009920C2" w:rsidP="003E72B0">
            <w:pP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1</w:t>
            </w:r>
          </w:p>
        </w:tc>
        <w:tc>
          <w:tcPr>
            <w:tcW w:w="1350" w:type="dxa"/>
            <w:vAlign w:val="center"/>
          </w:tcPr>
          <w:p w14:paraId="790C20FE" w14:textId="77777777" w:rsidR="009920C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9,053</w:t>
            </w:r>
          </w:p>
        </w:tc>
        <w:tc>
          <w:tcPr>
            <w:tcW w:w="2070" w:type="dxa"/>
            <w:vAlign w:val="center"/>
          </w:tcPr>
          <w:p w14:paraId="615AAA2E" w14:textId="77777777" w:rsidR="009920C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3,526 (39)</w:t>
            </w:r>
          </w:p>
        </w:tc>
        <w:tc>
          <w:tcPr>
            <w:tcW w:w="2070" w:type="dxa"/>
            <w:vAlign w:val="center"/>
          </w:tcPr>
          <w:p w14:paraId="6E3F94EE" w14:textId="77777777" w:rsidR="009920C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5,250 (58)</w:t>
            </w:r>
          </w:p>
        </w:tc>
        <w:tc>
          <w:tcPr>
            <w:tcW w:w="2070" w:type="dxa"/>
            <w:vAlign w:val="center"/>
          </w:tcPr>
          <w:p w14:paraId="18414FB8" w14:textId="77777777" w:rsidR="009920C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9,053 (100)</w:t>
            </w:r>
          </w:p>
        </w:tc>
        <w:tc>
          <w:tcPr>
            <w:tcW w:w="2070" w:type="dxa"/>
            <w:vAlign w:val="center"/>
          </w:tcPr>
          <w:p w14:paraId="1C9C16FE" w14:textId="77777777" w:rsidR="009920C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127 (1)</w:t>
            </w:r>
          </w:p>
        </w:tc>
        <w:tc>
          <w:tcPr>
            <w:tcW w:w="1930" w:type="dxa"/>
            <w:vAlign w:val="center"/>
          </w:tcPr>
          <w:p w14:paraId="2B2ADD40" w14:textId="77777777" w:rsidR="009920C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127 (1)</w:t>
            </w:r>
          </w:p>
        </w:tc>
      </w:tr>
      <w:tr w:rsidR="009920C2" w:rsidRPr="00F51A02" w14:paraId="61C85DF8" w14:textId="77777777" w:rsidTr="003E72B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0A33A80" w14:textId="77777777" w:rsidR="009920C2" w:rsidRPr="0065293F" w:rsidRDefault="009920C2" w:rsidP="003E72B0">
            <w:pP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</w:pPr>
            <w:r w:rsidRPr="0065293F"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2</w:t>
            </w:r>
          </w:p>
        </w:tc>
        <w:tc>
          <w:tcPr>
            <w:tcW w:w="1350" w:type="dxa"/>
            <w:vAlign w:val="center"/>
          </w:tcPr>
          <w:p w14:paraId="0107FEC5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2,636</w:t>
            </w:r>
          </w:p>
        </w:tc>
        <w:tc>
          <w:tcPr>
            <w:tcW w:w="2070" w:type="dxa"/>
            <w:vAlign w:val="center"/>
          </w:tcPr>
          <w:p w14:paraId="2AC57CDF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2,307 (89)</w:t>
            </w:r>
          </w:p>
        </w:tc>
        <w:tc>
          <w:tcPr>
            <w:tcW w:w="2070" w:type="dxa"/>
            <w:vAlign w:val="center"/>
          </w:tcPr>
          <w:p w14:paraId="75543E6B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1,373 (52)</w:t>
            </w:r>
          </w:p>
        </w:tc>
        <w:tc>
          <w:tcPr>
            <w:tcW w:w="2070" w:type="dxa"/>
            <w:vAlign w:val="center"/>
          </w:tcPr>
          <w:p w14:paraId="3BEB782F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513 (19)</w:t>
            </w:r>
          </w:p>
        </w:tc>
        <w:tc>
          <w:tcPr>
            <w:tcW w:w="2070" w:type="dxa"/>
            <w:vAlign w:val="center"/>
          </w:tcPr>
          <w:p w14:paraId="536E751F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2,543 (96)</w:t>
            </w:r>
          </w:p>
        </w:tc>
        <w:tc>
          <w:tcPr>
            <w:tcW w:w="1930" w:type="dxa"/>
            <w:vAlign w:val="center"/>
          </w:tcPr>
          <w:p w14:paraId="4F8FFC21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147 (6)</w:t>
            </w:r>
          </w:p>
        </w:tc>
      </w:tr>
      <w:tr w:rsidR="009920C2" w:rsidRPr="00F51A02" w14:paraId="5C651450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EC9E715" w14:textId="77777777" w:rsidR="009920C2" w:rsidRPr="0065293F" w:rsidRDefault="009920C2" w:rsidP="003E72B0">
            <w:pPr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3</w:t>
            </w:r>
          </w:p>
        </w:tc>
        <w:tc>
          <w:tcPr>
            <w:tcW w:w="1350" w:type="dxa"/>
            <w:vAlign w:val="center"/>
          </w:tcPr>
          <w:p w14:paraId="02B2F15E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2,180</w:t>
            </w:r>
          </w:p>
        </w:tc>
        <w:tc>
          <w:tcPr>
            <w:tcW w:w="2070" w:type="dxa"/>
            <w:vAlign w:val="center"/>
          </w:tcPr>
          <w:p w14:paraId="25E2435F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1,044 (97)</w:t>
            </w:r>
          </w:p>
        </w:tc>
        <w:tc>
          <w:tcPr>
            <w:tcW w:w="2070" w:type="dxa"/>
            <w:vAlign w:val="center"/>
          </w:tcPr>
          <w:p w14:paraId="743F4B08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1,000 (46)</w:t>
            </w:r>
          </w:p>
        </w:tc>
        <w:tc>
          <w:tcPr>
            <w:tcW w:w="2070" w:type="dxa"/>
            <w:vAlign w:val="center"/>
          </w:tcPr>
          <w:p w14:paraId="3B2E799A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1,235 (57)</w:t>
            </w:r>
          </w:p>
        </w:tc>
        <w:tc>
          <w:tcPr>
            <w:tcW w:w="2070" w:type="dxa"/>
            <w:vAlign w:val="center"/>
          </w:tcPr>
          <w:p w14:paraId="00FBE0FD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84 (4)</w:t>
            </w:r>
          </w:p>
        </w:tc>
        <w:tc>
          <w:tcPr>
            <w:tcW w:w="1930" w:type="dxa"/>
            <w:vAlign w:val="center"/>
          </w:tcPr>
          <w:p w14:paraId="59F30DCB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884 (41)</w:t>
            </w:r>
          </w:p>
        </w:tc>
      </w:tr>
      <w:tr w:rsidR="009920C2" w:rsidRPr="00F51A02" w14:paraId="621E1B5D" w14:textId="77777777" w:rsidTr="003E72B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CC93820" w14:textId="77777777" w:rsidR="009920C2" w:rsidRPr="0065293F" w:rsidRDefault="009920C2" w:rsidP="003E72B0">
            <w:pP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4</w:t>
            </w:r>
          </w:p>
        </w:tc>
        <w:tc>
          <w:tcPr>
            <w:tcW w:w="1350" w:type="dxa"/>
            <w:vAlign w:val="center"/>
          </w:tcPr>
          <w:p w14:paraId="3E7AEF27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2,022</w:t>
            </w:r>
          </w:p>
        </w:tc>
        <w:tc>
          <w:tcPr>
            <w:tcW w:w="2070" w:type="dxa"/>
            <w:vAlign w:val="center"/>
          </w:tcPr>
          <w:p w14:paraId="0D35889B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369 (19)</w:t>
            </w:r>
          </w:p>
        </w:tc>
        <w:tc>
          <w:tcPr>
            <w:tcW w:w="2070" w:type="dxa"/>
            <w:vAlign w:val="center"/>
          </w:tcPr>
          <w:p w14:paraId="59C66931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956 (47)</w:t>
            </w:r>
          </w:p>
        </w:tc>
        <w:tc>
          <w:tcPr>
            <w:tcW w:w="2070" w:type="dxa"/>
            <w:vAlign w:val="center"/>
          </w:tcPr>
          <w:p w14:paraId="2BBE5033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1,088 (54)</w:t>
            </w:r>
          </w:p>
        </w:tc>
        <w:tc>
          <w:tcPr>
            <w:tcW w:w="2070" w:type="dxa"/>
            <w:vAlign w:val="center"/>
          </w:tcPr>
          <w:p w14:paraId="3F176E5F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989 (49)</w:t>
            </w:r>
          </w:p>
        </w:tc>
        <w:tc>
          <w:tcPr>
            <w:tcW w:w="1930" w:type="dxa"/>
            <w:vAlign w:val="center"/>
          </w:tcPr>
          <w:p w14:paraId="00F2150C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0 (0)</w:t>
            </w:r>
          </w:p>
        </w:tc>
      </w:tr>
      <w:tr w:rsidR="009920C2" w:rsidRPr="00F51A02" w14:paraId="7194057E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80CACDB" w14:textId="77777777" w:rsidR="009920C2" w:rsidRPr="0065293F" w:rsidRDefault="009920C2" w:rsidP="003E72B0">
            <w:pPr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5</w:t>
            </w:r>
          </w:p>
        </w:tc>
        <w:tc>
          <w:tcPr>
            <w:tcW w:w="1350" w:type="dxa"/>
            <w:vAlign w:val="center"/>
          </w:tcPr>
          <w:p w14:paraId="59502C57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1,634</w:t>
            </w:r>
          </w:p>
        </w:tc>
        <w:tc>
          <w:tcPr>
            <w:tcW w:w="2070" w:type="dxa"/>
            <w:vAlign w:val="center"/>
          </w:tcPr>
          <w:p w14:paraId="73C1FD30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1,074 (86)</w:t>
            </w:r>
          </w:p>
        </w:tc>
        <w:tc>
          <w:tcPr>
            <w:tcW w:w="2070" w:type="dxa"/>
            <w:vAlign w:val="center"/>
          </w:tcPr>
          <w:p w14:paraId="741B16BE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790 (48)</w:t>
            </w:r>
          </w:p>
        </w:tc>
        <w:tc>
          <w:tcPr>
            <w:tcW w:w="2070" w:type="dxa"/>
            <w:vAlign w:val="center"/>
          </w:tcPr>
          <w:p w14:paraId="4E445E0D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762 (47)</w:t>
            </w:r>
          </w:p>
        </w:tc>
        <w:tc>
          <w:tcPr>
            <w:tcW w:w="2070" w:type="dxa"/>
            <w:vAlign w:val="center"/>
          </w:tcPr>
          <w:p w14:paraId="2FD8E946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914 (56)</w:t>
            </w:r>
          </w:p>
        </w:tc>
        <w:tc>
          <w:tcPr>
            <w:tcW w:w="1930" w:type="dxa"/>
            <w:vAlign w:val="center"/>
          </w:tcPr>
          <w:p w14:paraId="2F79E006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0 (0)</w:t>
            </w:r>
          </w:p>
        </w:tc>
      </w:tr>
      <w:tr w:rsidR="009920C2" w:rsidRPr="00F51A02" w14:paraId="637E5B23" w14:textId="77777777" w:rsidTr="003E72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6A39F45" w14:textId="77777777" w:rsidR="009920C2" w:rsidRPr="0065293F" w:rsidRDefault="009920C2" w:rsidP="003E72B0">
            <w:pP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6</w:t>
            </w:r>
          </w:p>
        </w:tc>
        <w:tc>
          <w:tcPr>
            <w:tcW w:w="1350" w:type="dxa"/>
            <w:vAlign w:val="center"/>
          </w:tcPr>
          <w:p w14:paraId="5E21F481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1,423</w:t>
            </w:r>
          </w:p>
        </w:tc>
        <w:tc>
          <w:tcPr>
            <w:tcW w:w="2070" w:type="dxa"/>
            <w:vAlign w:val="center"/>
          </w:tcPr>
          <w:p w14:paraId="57ADDBEB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274 (20)</w:t>
            </w:r>
          </w:p>
        </w:tc>
        <w:tc>
          <w:tcPr>
            <w:tcW w:w="2070" w:type="dxa"/>
            <w:vAlign w:val="center"/>
          </w:tcPr>
          <w:p w14:paraId="43DAA528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532 (37)</w:t>
            </w:r>
          </w:p>
        </w:tc>
        <w:tc>
          <w:tcPr>
            <w:tcW w:w="2070" w:type="dxa"/>
            <w:vAlign w:val="center"/>
          </w:tcPr>
          <w:p w14:paraId="35FEC0C1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1,273 (89)</w:t>
            </w:r>
          </w:p>
        </w:tc>
        <w:tc>
          <w:tcPr>
            <w:tcW w:w="2070" w:type="dxa"/>
            <w:vAlign w:val="center"/>
          </w:tcPr>
          <w:p w14:paraId="0935820F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154 (11)</w:t>
            </w:r>
          </w:p>
        </w:tc>
        <w:tc>
          <w:tcPr>
            <w:tcW w:w="1930" w:type="dxa"/>
            <w:vAlign w:val="center"/>
          </w:tcPr>
          <w:p w14:paraId="64CB3A09" w14:textId="77777777" w:rsidR="009920C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0 (0)</w:t>
            </w:r>
          </w:p>
        </w:tc>
      </w:tr>
      <w:tr w:rsidR="009920C2" w:rsidRPr="00F51A02" w14:paraId="7043625D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17B2ED3" w14:textId="77777777" w:rsidR="009920C2" w:rsidRPr="00AF6FCB" w:rsidRDefault="009920C2" w:rsidP="003E72B0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AF6FCB">
              <w:rPr>
                <w:rFonts w:ascii="Arial" w:eastAsia="Times New Roman" w:hAnsi="Arial" w:cs="Arial"/>
                <w:b w:val="0"/>
                <w:sz w:val="20"/>
                <w:szCs w:val="20"/>
              </w:rPr>
              <w:t>Clinic 7</w:t>
            </w:r>
          </w:p>
        </w:tc>
        <w:tc>
          <w:tcPr>
            <w:tcW w:w="1350" w:type="dxa"/>
            <w:vAlign w:val="center"/>
          </w:tcPr>
          <w:p w14:paraId="6DC017B6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1,419</w:t>
            </w:r>
          </w:p>
        </w:tc>
        <w:tc>
          <w:tcPr>
            <w:tcW w:w="2070" w:type="dxa"/>
            <w:vAlign w:val="center"/>
          </w:tcPr>
          <w:p w14:paraId="7D5A90C2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306 (22)</w:t>
            </w:r>
          </w:p>
        </w:tc>
        <w:tc>
          <w:tcPr>
            <w:tcW w:w="2070" w:type="dxa"/>
            <w:vAlign w:val="center"/>
          </w:tcPr>
          <w:p w14:paraId="16706095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1,056 (74)</w:t>
            </w:r>
          </w:p>
        </w:tc>
        <w:tc>
          <w:tcPr>
            <w:tcW w:w="2070" w:type="dxa"/>
            <w:vAlign w:val="center"/>
          </w:tcPr>
          <w:p w14:paraId="70360294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1,408 (99)</w:t>
            </w:r>
          </w:p>
        </w:tc>
        <w:tc>
          <w:tcPr>
            <w:tcW w:w="2070" w:type="dxa"/>
            <w:vAlign w:val="center"/>
          </w:tcPr>
          <w:p w14:paraId="630DC86C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0 (0)</w:t>
            </w:r>
          </w:p>
        </w:tc>
        <w:tc>
          <w:tcPr>
            <w:tcW w:w="1930" w:type="dxa"/>
            <w:vAlign w:val="center"/>
          </w:tcPr>
          <w:p w14:paraId="22CEBD5D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12 (1)</w:t>
            </w:r>
          </w:p>
        </w:tc>
      </w:tr>
      <w:tr w:rsidR="009920C2" w:rsidRPr="00F51A02" w14:paraId="7F22DC93" w14:textId="77777777" w:rsidTr="003E72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42171DC" w14:textId="77777777" w:rsidR="009920C2" w:rsidRPr="00AF6FCB" w:rsidRDefault="009920C2" w:rsidP="003E72B0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AF6FCB">
              <w:rPr>
                <w:rFonts w:ascii="Arial" w:eastAsia="Times New Roman" w:hAnsi="Arial" w:cs="Arial"/>
                <w:b w:val="0"/>
                <w:sz w:val="20"/>
                <w:szCs w:val="20"/>
              </w:rPr>
              <w:t>Clinic 8</w:t>
            </w:r>
          </w:p>
        </w:tc>
        <w:tc>
          <w:tcPr>
            <w:tcW w:w="1350" w:type="dxa"/>
            <w:vAlign w:val="center"/>
          </w:tcPr>
          <w:p w14:paraId="7219EA4C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1,181</w:t>
            </w:r>
          </w:p>
        </w:tc>
        <w:tc>
          <w:tcPr>
            <w:tcW w:w="2070" w:type="dxa"/>
            <w:vAlign w:val="center"/>
          </w:tcPr>
          <w:p w14:paraId="673E5C98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1,181 (100)</w:t>
            </w:r>
          </w:p>
        </w:tc>
        <w:tc>
          <w:tcPr>
            <w:tcW w:w="2070" w:type="dxa"/>
            <w:vAlign w:val="center"/>
          </w:tcPr>
          <w:p w14:paraId="5E731E24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588 (50)</w:t>
            </w:r>
          </w:p>
        </w:tc>
        <w:tc>
          <w:tcPr>
            <w:tcW w:w="2070" w:type="dxa"/>
            <w:vAlign w:val="center"/>
          </w:tcPr>
          <w:p w14:paraId="01582CA4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424 (36)</w:t>
            </w:r>
          </w:p>
        </w:tc>
        <w:tc>
          <w:tcPr>
            <w:tcW w:w="2070" w:type="dxa"/>
            <w:vAlign w:val="center"/>
          </w:tcPr>
          <w:p w14:paraId="2EB52FB9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1,180 (100)</w:t>
            </w:r>
          </w:p>
        </w:tc>
        <w:tc>
          <w:tcPr>
            <w:tcW w:w="1930" w:type="dxa"/>
            <w:vAlign w:val="center"/>
          </w:tcPr>
          <w:p w14:paraId="77F4A31F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272 (23)</w:t>
            </w:r>
          </w:p>
        </w:tc>
      </w:tr>
      <w:tr w:rsidR="009920C2" w:rsidRPr="00F51A02" w14:paraId="73F8B27A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774E2D1" w14:textId="77777777" w:rsidR="009920C2" w:rsidRPr="00AF6FCB" w:rsidRDefault="009920C2" w:rsidP="003E72B0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AF6FCB">
              <w:rPr>
                <w:rFonts w:ascii="Arial" w:eastAsia="Times New Roman" w:hAnsi="Arial" w:cs="Arial"/>
                <w:b w:val="0"/>
                <w:sz w:val="20"/>
                <w:szCs w:val="20"/>
              </w:rPr>
              <w:t>Clinic 9</w:t>
            </w:r>
          </w:p>
        </w:tc>
        <w:tc>
          <w:tcPr>
            <w:tcW w:w="1350" w:type="dxa"/>
            <w:vAlign w:val="center"/>
          </w:tcPr>
          <w:p w14:paraId="5A2E7006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647</w:t>
            </w:r>
          </w:p>
        </w:tc>
        <w:tc>
          <w:tcPr>
            <w:tcW w:w="2070" w:type="dxa"/>
            <w:vAlign w:val="center"/>
          </w:tcPr>
          <w:p w14:paraId="428C7903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56 (14)</w:t>
            </w:r>
          </w:p>
        </w:tc>
        <w:tc>
          <w:tcPr>
            <w:tcW w:w="2070" w:type="dxa"/>
            <w:vAlign w:val="center"/>
          </w:tcPr>
          <w:p w14:paraId="220B31F9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400 (62)</w:t>
            </w:r>
          </w:p>
        </w:tc>
        <w:tc>
          <w:tcPr>
            <w:tcW w:w="2070" w:type="dxa"/>
            <w:vAlign w:val="center"/>
          </w:tcPr>
          <w:p w14:paraId="2288D4AE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425 (66)</w:t>
            </w:r>
          </w:p>
        </w:tc>
        <w:tc>
          <w:tcPr>
            <w:tcW w:w="2070" w:type="dxa"/>
            <w:vAlign w:val="center"/>
          </w:tcPr>
          <w:p w14:paraId="7653EC07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4 (&lt;1)</w:t>
            </w:r>
          </w:p>
        </w:tc>
        <w:tc>
          <w:tcPr>
            <w:tcW w:w="1930" w:type="dxa"/>
            <w:vAlign w:val="center"/>
          </w:tcPr>
          <w:p w14:paraId="0C92BA10" w14:textId="77777777" w:rsidR="009920C2" w:rsidRPr="00AF6FCB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240 (37)</w:t>
            </w:r>
          </w:p>
        </w:tc>
      </w:tr>
      <w:tr w:rsidR="009920C2" w:rsidRPr="00F51A02" w14:paraId="49AE9ADD" w14:textId="77777777" w:rsidTr="003E72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6E3FB24" w14:textId="77777777" w:rsidR="009920C2" w:rsidRPr="00AF6FCB" w:rsidRDefault="009920C2" w:rsidP="003E72B0">
            <w:pPr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 w:rsidRPr="00AF6FCB">
              <w:rPr>
                <w:rFonts w:ascii="Arial" w:eastAsia="Times New Roman" w:hAnsi="Arial" w:cs="Arial"/>
                <w:b w:val="0"/>
                <w:sz w:val="20"/>
                <w:szCs w:val="20"/>
              </w:rPr>
              <w:t>Clinic 10</w:t>
            </w:r>
          </w:p>
        </w:tc>
        <w:tc>
          <w:tcPr>
            <w:tcW w:w="1350" w:type="dxa"/>
            <w:vAlign w:val="center"/>
          </w:tcPr>
          <w:p w14:paraId="132661A2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571</w:t>
            </w:r>
          </w:p>
        </w:tc>
        <w:tc>
          <w:tcPr>
            <w:tcW w:w="2070" w:type="dxa"/>
            <w:vAlign w:val="center"/>
          </w:tcPr>
          <w:p w14:paraId="427C3741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322 (59)</w:t>
            </w:r>
          </w:p>
        </w:tc>
        <w:tc>
          <w:tcPr>
            <w:tcW w:w="2070" w:type="dxa"/>
            <w:vAlign w:val="center"/>
          </w:tcPr>
          <w:p w14:paraId="32608351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311 (55)</w:t>
            </w:r>
          </w:p>
        </w:tc>
        <w:tc>
          <w:tcPr>
            <w:tcW w:w="2070" w:type="dxa"/>
            <w:vAlign w:val="center"/>
          </w:tcPr>
          <w:p w14:paraId="3B9A97F0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327 (57)</w:t>
            </w:r>
          </w:p>
        </w:tc>
        <w:tc>
          <w:tcPr>
            <w:tcW w:w="2070" w:type="dxa"/>
            <w:vAlign w:val="center"/>
          </w:tcPr>
          <w:p w14:paraId="34C3A00A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2 (&lt;1)</w:t>
            </w:r>
          </w:p>
        </w:tc>
        <w:tc>
          <w:tcPr>
            <w:tcW w:w="1930" w:type="dxa"/>
            <w:vAlign w:val="center"/>
          </w:tcPr>
          <w:p w14:paraId="4FDF6EE8" w14:textId="77777777" w:rsidR="009920C2" w:rsidRPr="00AF6FCB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 w:rsidRPr="00AF6FCB">
              <w:rPr>
                <w:rFonts w:ascii="Arial" w:eastAsia="MS Mincho" w:hAnsi="Arial" w:cs="Arial"/>
                <w:sz w:val="20"/>
                <w:szCs w:val="20"/>
              </w:rPr>
              <w:t>244 (43)</w:t>
            </w:r>
          </w:p>
        </w:tc>
      </w:tr>
      <w:tr w:rsidR="009920C2" w:rsidRPr="00F51A02" w14:paraId="6F818C76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A77EF4B" w14:textId="77777777" w:rsidR="009920C2" w:rsidRPr="0065293F" w:rsidRDefault="009920C2" w:rsidP="003E72B0">
            <w:pPr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11</w:t>
            </w:r>
          </w:p>
        </w:tc>
        <w:tc>
          <w:tcPr>
            <w:tcW w:w="1350" w:type="dxa"/>
            <w:vAlign w:val="center"/>
          </w:tcPr>
          <w:p w14:paraId="7623F65F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385</w:t>
            </w:r>
          </w:p>
        </w:tc>
        <w:tc>
          <w:tcPr>
            <w:tcW w:w="2070" w:type="dxa"/>
            <w:vAlign w:val="center"/>
          </w:tcPr>
          <w:p w14:paraId="5CAF8A74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248 (65)</w:t>
            </w:r>
          </w:p>
        </w:tc>
        <w:tc>
          <w:tcPr>
            <w:tcW w:w="2070" w:type="dxa"/>
            <w:vAlign w:val="center"/>
          </w:tcPr>
          <w:p w14:paraId="555F6C5D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163 (42)</w:t>
            </w:r>
          </w:p>
        </w:tc>
        <w:tc>
          <w:tcPr>
            <w:tcW w:w="2070" w:type="dxa"/>
            <w:vAlign w:val="center"/>
          </w:tcPr>
          <w:p w14:paraId="48CD1F06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20 (5)</w:t>
            </w:r>
          </w:p>
        </w:tc>
        <w:tc>
          <w:tcPr>
            <w:tcW w:w="2070" w:type="dxa"/>
            <w:vAlign w:val="center"/>
          </w:tcPr>
          <w:p w14:paraId="002C10F6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385 (100)</w:t>
            </w:r>
          </w:p>
        </w:tc>
        <w:tc>
          <w:tcPr>
            <w:tcW w:w="1930" w:type="dxa"/>
            <w:vAlign w:val="center"/>
          </w:tcPr>
          <w:p w14:paraId="3593506F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5 (1)</w:t>
            </w:r>
          </w:p>
        </w:tc>
      </w:tr>
      <w:tr w:rsidR="009920C2" w:rsidRPr="00F51A02" w14:paraId="540C73C7" w14:textId="77777777" w:rsidTr="003E72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7F686CC" w14:textId="77777777" w:rsidR="009920C2" w:rsidRPr="0065293F" w:rsidRDefault="009920C2" w:rsidP="003E72B0">
            <w:pPr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12</w:t>
            </w:r>
          </w:p>
        </w:tc>
        <w:tc>
          <w:tcPr>
            <w:tcW w:w="1350" w:type="dxa"/>
            <w:vAlign w:val="center"/>
          </w:tcPr>
          <w:p w14:paraId="279E2ABC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362</w:t>
            </w:r>
          </w:p>
        </w:tc>
        <w:tc>
          <w:tcPr>
            <w:tcW w:w="2070" w:type="dxa"/>
            <w:vAlign w:val="center"/>
          </w:tcPr>
          <w:p w14:paraId="79DA33FA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79 (22)</w:t>
            </w:r>
          </w:p>
        </w:tc>
        <w:tc>
          <w:tcPr>
            <w:tcW w:w="2070" w:type="dxa"/>
            <w:vAlign w:val="center"/>
          </w:tcPr>
          <w:p w14:paraId="4308FB2D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191 (53)</w:t>
            </w:r>
          </w:p>
        </w:tc>
        <w:tc>
          <w:tcPr>
            <w:tcW w:w="2070" w:type="dxa"/>
            <w:vAlign w:val="center"/>
          </w:tcPr>
          <w:p w14:paraId="4A98C2D7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75 (21)</w:t>
            </w:r>
          </w:p>
        </w:tc>
        <w:tc>
          <w:tcPr>
            <w:tcW w:w="2070" w:type="dxa"/>
            <w:vAlign w:val="center"/>
          </w:tcPr>
          <w:p w14:paraId="6177959C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309 (85)</w:t>
            </w:r>
          </w:p>
        </w:tc>
        <w:tc>
          <w:tcPr>
            <w:tcW w:w="1930" w:type="dxa"/>
            <w:vAlign w:val="center"/>
          </w:tcPr>
          <w:p w14:paraId="43B363E7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 (&lt;1)</w:t>
            </w:r>
          </w:p>
        </w:tc>
      </w:tr>
      <w:tr w:rsidR="009920C2" w:rsidRPr="00F51A02" w14:paraId="2DAAE14B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CC2717B" w14:textId="77777777" w:rsidR="009920C2" w:rsidRPr="0065293F" w:rsidRDefault="009920C2" w:rsidP="003E72B0">
            <w:pPr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13</w:t>
            </w:r>
          </w:p>
        </w:tc>
        <w:tc>
          <w:tcPr>
            <w:tcW w:w="1350" w:type="dxa"/>
            <w:vAlign w:val="center"/>
          </w:tcPr>
          <w:p w14:paraId="4A8873DE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275</w:t>
            </w:r>
          </w:p>
        </w:tc>
        <w:tc>
          <w:tcPr>
            <w:tcW w:w="2070" w:type="dxa"/>
            <w:vAlign w:val="center"/>
          </w:tcPr>
          <w:p w14:paraId="6FD1F2F9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201 (77)</w:t>
            </w:r>
          </w:p>
        </w:tc>
        <w:tc>
          <w:tcPr>
            <w:tcW w:w="2070" w:type="dxa"/>
            <w:vAlign w:val="center"/>
          </w:tcPr>
          <w:p w14:paraId="646326CD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144 (52)</w:t>
            </w:r>
          </w:p>
        </w:tc>
        <w:tc>
          <w:tcPr>
            <w:tcW w:w="2070" w:type="dxa"/>
            <w:vAlign w:val="center"/>
          </w:tcPr>
          <w:p w14:paraId="4AD4797D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60 (22)</w:t>
            </w:r>
          </w:p>
        </w:tc>
        <w:tc>
          <w:tcPr>
            <w:tcW w:w="2070" w:type="dxa"/>
            <w:vAlign w:val="center"/>
          </w:tcPr>
          <w:p w14:paraId="54458348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229 (83)</w:t>
            </w:r>
          </w:p>
        </w:tc>
        <w:tc>
          <w:tcPr>
            <w:tcW w:w="1930" w:type="dxa"/>
            <w:vAlign w:val="center"/>
          </w:tcPr>
          <w:p w14:paraId="09CA36F4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0 (0)</w:t>
            </w:r>
          </w:p>
        </w:tc>
      </w:tr>
      <w:tr w:rsidR="009920C2" w:rsidRPr="00F51A02" w14:paraId="07BC6985" w14:textId="77777777" w:rsidTr="003E72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F91CBFF" w14:textId="77777777" w:rsidR="009920C2" w:rsidRPr="0065293F" w:rsidRDefault="009920C2" w:rsidP="003E72B0">
            <w:pPr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14</w:t>
            </w:r>
          </w:p>
        </w:tc>
        <w:tc>
          <w:tcPr>
            <w:tcW w:w="1350" w:type="dxa"/>
            <w:vAlign w:val="center"/>
          </w:tcPr>
          <w:p w14:paraId="674BAFA1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59</w:t>
            </w:r>
          </w:p>
        </w:tc>
        <w:tc>
          <w:tcPr>
            <w:tcW w:w="2070" w:type="dxa"/>
            <w:vAlign w:val="center"/>
          </w:tcPr>
          <w:p w14:paraId="5D9DA3F4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48 (81)</w:t>
            </w:r>
          </w:p>
        </w:tc>
        <w:tc>
          <w:tcPr>
            <w:tcW w:w="2070" w:type="dxa"/>
            <w:vAlign w:val="center"/>
          </w:tcPr>
          <w:p w14:paraId="03A7BA23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34 (58)</w:t>
            </w:r>
          </w:p>
        </w:tc>
        <w:tc>
          <w:tcPr>
            <w:tcW w:w="2070" w:type="dxa"/>
            <w:vAlign w:val="center"/>
          </w:tcPr>
          <w:p w14:paraId="549C72CE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12 (20)</w:t>
            </w:r>
          </w:p>
        </w:tc>
        <w:tc>
          <w:tcPr>
            <w:tcW w:w="2070" w:type="dxa"/>
            <w:vAlign w:val="center"/>
          </w:tcPr>
          <w:p w14:paraId="10ED3B7B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47 (80)</w:t>
            </w:r>
          </w:p>
        </w:tc>
        <w:tc>
          <w:tcPr>
            <w:tcW w:w="1930" w:type="dxa"/>
            <w:vAlign w:val="center"/>
          </w:tcPr>
          <w:p w14:paraId="780F8DB6" w14:textId="77777777" w:rsidR="009920C2" w:rsidRPr="00F51A02" w:rsidRDefault="009920C2" w:rsidP="003E7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 (3)</w:t>
            </w:r>
          </w:p>
        </w:tc>
      </w:tr>
      <w:tr w:rsidR="009920C2" w:rsidRPr="00F51A02" w14:paraId="5A5EEC26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228C418" w14:textId="77777777" w:rsidR="009920C2" w:rsidRPr="0065293F" w:rsidRDefault="009920C2" w:rsidP="003E72B0">
            <w:pPr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111111"/>
                <w:sz w:val="20"/>
                <w:szCs w:val="20"/>
              </w:rPr>
              <w:t>Clinic 15</w:t>
            </w:r>
          </w:p>
        </w:tc>
        <w:tc>
          <w:tcPr>
            <w:tcW w:w="1350" w:type="dxa"/>
            <w:vAlign w:val="center"/>
          </w:tcPr>
          <w:p w14:paraId="50F7B013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38</w:t>
            </w:r>
          </w:p>
        </w:tc>
        <w:tc>
          <w:tcPr>
            <w:tcW w:w="2070" w:type="dxa"/>
            <w:vAlign w:val="center"/>
          </w:tcPr>
          <w:p w14:paraId="492A9D32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15 (56)</w:t>
            </w:r>
          </w:p>
        </w:tc>
        <w:tc>
          <w:tcPr>
            <w:tcW w:w="2070" w:type="dxa"/>
            <w:vAlign w:val="center"/>
          </w:tcPr>
          <w:p w14:paraId="02DD6E45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15 (39)</w:t>
            </w:r>
          </w:p>
        </w:tc>
        <w:tc>
          <w:tcPr>
            <w:tcW w:w="2070" w:type="dxa"/>
            <w:vAlign w:val="center"/>
          </w:tcPr>
          <w:p w14:paraId="03DBFE26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14 (37)</w:t>
            </w:r>
          </w:p>
        </w:tc>
        <w:tc>
          <w:tcPr>
            <w:tcW w:w="2070" w:type="dxa"/>
            <w:vAlign w:val="center"/>
          </w:tcPr>
          <w:p w14:paraId="29B1AA4F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26 (68)</w:t>
            </w:r>
          </w:p>
        </w:tc>
        <w:tc>
          <w:tcPr>
            <w:tcW w:w="1930" w:type="dxa"/>
            <w:vAlign w:val="center"/>
          </w:tcPr>
          <w:p w14:paraId="1FDF7381" w14:textId="77777777" w:rsidR="009920C2" w:rsidRPr="00F51A02" w:rsidRDefault="009920C2" w:rsidP="003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0 (0)</w:t>
            </w:r>
          </w:p>
        </w:tc>
      </w:tr>
    </w:tbl>
    <w:p w14:paraId="06964C8E" w14:textId="77777777" w:rsidR="009920C2" w:rsidRPr="0099578F" w:rsidRDefault="009920C2" w:rsidP="009920C2">
      <w:pPr>
        <w:spacing w:after="0"/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TST, tuberculin skin test; QFT, QuantiFERON-TB Gold-in-Tube/Plus test; T-SPOT, T-SPOT.</w:t>
      </w:r>
      <w:r w:rsidRPr="005A648E">
        <w:rPr>
          <w:rFonts w:ascii="Arial" w:hAnsi="Arial" w:cs="Arial"/>
          <w:i/>
          <w:iCs/>
          <w:sz w:val="18"/>
          <w:szCs w:val="18"/>
        </w:rPr>
        <w:t>TB</w:t>
      </w:r>
      <w:r>
        <w:rPr>
          <w:rFonts w:ascii="Arial" w:hAnsi="Arial" w:cs="Arial"/>
          <w:sz w:val="18"/>
          <w:szCs w:val="18"/>
        </w:rPr>
        <w:t xml:space="preserve"> test</w:t>
      </w:r>
    </w:p>
    <w:p w14:paraId="4F039E2E" w14:textId="77777777" w:rsidR="009920C2" w:rsidRPr="0099578F" w:rsidRDefault="009920C2" w:rsidP="009920C2">
      <w:pPr>
        <w:spacing w:after="0"/>
        <w:ind w:hanging="360"/>
        <w:rPr>
          <w:rFonts w:ascii="Arial" w:hAnsi="Arial" w:cs="Arial"/>
          <w:sz w:val="18"/>
          <w:szCs w:val="18"/>
        </w:rPr>
      </w:pPr>
      <w:r w:rsidRPr="00A5018C">
        <w:rPr>
          <w:rFonts w:ascii="Arial" w:hAnsi="Arial" w:cs="Arial"/>
          <w:sz w:val="18"/>
          <w:szCs w:val="18"/>
          <w:vertAlign w:val="superscript"/>
        </w:rPr>
        <w:t>1</w:t>
      </w:r>
      <w:r w:rsidRPr="00A501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Patients receiving local health department directed testing (primary analysis). </w:t>
      </w:r>
      <w:r w:rsidRPr="001709CD">
        <w:rPr>
          <w:rFonts w:ascii="Arial" w:hAnsi="Arial" w:cs="Arial"/>
          <w:sz w:val="18"/>
          <w:szCs w:val="18"/>
        </w:rPr>
        <w:t xml:space="preserve">The median number of participants per site was 1,181 (IQR 362-2022) </w:t>
      </w:r>
    </w:p>
    <w:p w14:paraId="58D82632" w14:textId="77777777" w:rsidR="009920C2" w:rsidRPr="0099578F" w:rsidRDefault="009920C2" w:rsidP="009920C2">
      <w:pPr>
        <w:spacing w:after="0"/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2 </w:t>
      </w:r>
      <w:r w:rsidRPr="00E77704">
        <w:rPr>
          <w:rFonts w:ascii="Arial" w:hAnsi="Arial" w:cs="Arial"/>
          <w:sz w:val="18"/>
          <w:szCs w:val="18"/>
        </w:rPr>
        <w:t>In some cases the</w:t>
      </w:r>
      <w:r w:rsidRPr="0099578F">
        <w:rPr>
          <w:rFonts w:ascii="Arial" w:hAnsi="Arial" w:cs="Arial"/>
          <w:sz w:val="18"/>
          <w:szCs w:val="18"/>
        </w:rPr>
        <w:t xml:space="preserve"> total number of tests exceeds the total </w:t>
      </w:r>
      <w:r>
        <w:rPr>
          <w:rFonts w:ascii="Arial" w:hAnsi="Arial" w:cs="Arial"/>
          <w:sz w:val="18"/>
          <w:szCs w:val="18"/>
        </w:rPr>
        <w:t xml:space="preserve">number of </w:t>
      </w:r>
      <w:r w:rsidRPr="0099578F">
        <w:rPr>
          <w:rFonts w:ascii="Arial" w:hAnsi="Arial" w:cs="Arial"/>
          <w:sz w:val="18"/>
          <w:szCs w:val="18"/>
        </w:rPr>
        <w:t xml:space="preserve">unique individuals </w:t>
      </w:r>
      <w:r>
        <w:rPr>
          <w:rFonts w:ascii="Arial" w:hAnsi="Arial" w:cs="Arial"/>
          <w:sz w:val="18"/>
          <w:szCs w:val="18"/>
        </w:rPr>
        <w:t>as some received more than one test</w:t>
      </w:r>
    </w:p>
    <w:p w14:paraId="773E440C" w14:textId="77777777" w:rsidR="009920C2" w:rsidRDefault="009920C2" w:rsidP="009920C2">
      <w:pPr>
        <w:rPr>
          <w:rFonts w:ascii="Arial" w:hAnsi="Arial" w:cs="Arial"/>
          <w:b/>
        </w:rPr>
      </w:pPr>
    </w:p>
    <w:p w14:paraId="2AC5722D" w14:textId="77777777" w:rsidR="009920C2" w:rsidRDefault="009920C2" w:rsidP="009920C2">
      <w:pPr>
        <w:rPr>
          <w:rFonts w:ascii="Arial" w:hAnsi="Arial" w:cs="Arial"/>
          <w:b/>
        </w:rPr>
      </w:pPr>
    </w:p>
    <w:p w14:paraId="73B9FEE3" w14:textId="77777777" w:rsidR="009920C2" w:rsidRDefault="009920C2" w:rsidP="009920C2">
      <w:pPr>
        <w:contextualSpacing/>
        <w:outlineLvl w:val="0"/>
        <w:rPr>
          <w:rFonts w:ascii="Arial" w:hAnsi="Arial" w:cs="Arial"/>
          <w:b/>
        </w:rPr>
        <w:sectPr w:rsidR="009920C2" w:rsidSect="00E91C4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17442CD" w14:textId="77777777" w:rsidR="009920C2" w:rsidRDefault="009920C2" w:rsidP="009920C2">
      <w:pPr>
        <w:spacing w:line="480" w:lineRule="auto"/>
        <w:ind w:left="446" w:hanging="896"/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Supplemental Table 2</w:t>
      </w:r>
      <w:r w:rsidRPr="00176621">
        <w:rPr>
          <w:rFonts w:ascii="Arial" w:hAnsi="Arial" w:cs="Arial"/>
          <w:b/>
          <w:color w:val="000000" w:themeColor="text1"/>
        </w:rPr>
        <w:t xml:space="preserve">: </w:t>
      </w:r>
      <w:r w:rsidRPr="00176621">
        <w:rPr>
          <w:rFonts w:ascii="Arial" w:hAnsi="Arial" w:cs="Arial"/>
          <w:color w:val="000000" w:themeColor="text1"/>
        </w:rPr>
        <w:t xml:space="preserve">LTBI Care Cascade </w:t>
      </w:r>
      <w:r>
        <w:rPr>
          <w:rFonts w:ascii="Arial" w:hAnsi="Arial" w:cs="Arial"/>
          <w:color w:val="000000" w:themeColor="text1"/>
        </w:rPr>
        <w:t>for those with health department directed testing</w:t>
      </w:r>
      <w:r w:rsidRPr="00176621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PlainTable1"/>
        <w:tblW w:w="5583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816"/>
        <w:gridCol w:w="2873"/>
        <w:gridCol w:w="1351"/>
        <w:gridCol w:w="900"/>
        <w:gridCol w:w="1169"/>
        <w:gridCol w:w="900"/>
        <w:gridCol w:w="1533"/>
        <w:gridCol w:w="898"/>
      </w:tblGrid>
      <w:tr w:rsidR="009920C2" w:rsidRPr="00176621" w14:paraId="6364E6E0" w14:textId="77777777" w:rsidTr="003E7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gridSpan w:val="2"/>
            <w:vMerge w:val="restart"/>
            <w:vAlign w:val="center"/>
          </w:tcPr>
          <w:p w14:paraId="24338186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bookmarkStart w:id="0" w:name="_Hlk79677767"/>
            <w:r w:rsidRPr="00176621">
              <w:rPr>
                <w:rFonts w:ascii="Arial" w:hAnsi="Arial" w:cs="Arial"/>
                <w:color w:val="000000" w:themeColor="text1"/>
              </w:rPr>
              <w:t>Cascade Step</w:t>
            </w:r>
          </w:p>
        </w:tc>
        <w:tc>
          <w:tcPr>
            <w:tcW w:w="2069" w:type="pct"/>
            <w:gridSpan w:val="4"/>
          </w:tcPr>
          <w:p w14:paraId="66FCBD5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734" w:type="pct"/>
          </w:tcPr>
          <w:p w14:paraId="08F9376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430" w:type="pct"/>
          </w:tcPr>
          <w:p w14:paraId="5BD05BF7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</w:tr>
      <w:tr w:rsidR="009920C2" w:rsidRPr="00176621" w14:paraId="185342CC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gridSpan w:val="2"/>
            <w:vMerge/>
          </w:tcPr>
          <w:p w14:paraId="30F9F88A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00C0A5D2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Non-US–born </w:t>
            </w:r>
          </w:p>
        </w:tc>
        <w:tc>
          <w:tcPr>
            <w:tcW w:w="991" w:type="pct"/>
            <w:gridSpan w:val="2"/>
            <w:vAlign w:val="center"/>
          </w:tcPr>
          <w:p w14:paraId="79A61B0A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US-born</w:t>
            </w:r>
          </w:p>
        </w:tc>
        <w:tc>
          <w:tcPr>
            <w:tcW w:w="734" w:type="pct"/>
            <w:vAlign w:val="center"/>
          </w:tcPr>
          <w:p w14:paraId="74683FD9" w14:textId="77777777" w:rsidR="009920C2" w:rsidRPr="00B35CCA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Total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>3</w:t>
            </w:r>
          </w:p>
        </w:tc>
        <w:tc>
          <w:tcPr>
            <w:tcW w:w="430" w:type="pct"/>
            <w:vAlign w:val="center"/>
          </w:tcPr>
          <w:p w14:paraId="5E665EE4" w14:textId="77777777" w:rsidR="009920C2" w:rsidRPr="00990A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 w:themeColor="text1"/>
                <w:vertAlign w:val="superscript"/>
              </w:rPr>
            </w:pPr>
            <w:r w:rsidRPr="002457DE">
              <w:rPr>
                <w:rFonts w:ascii="Arial" w:hAnsi="Arial" w:cs="Arial"/>
                <w:b/>
                <w:i/>
                <w:color w:val="000000" w:themeColor="text1"/>
              </w:rPr>
              <w:t>P</w:t>
            </w:r>
            <w:r>
              <w:rPr>
                <w:rFonts w:ascii="Arial" w:hAnsi="Arial" w:cs="Arial"/>
                <w:b/>
                <w:i/>
                <w:color w:val="000000" w:themeColor="text1"/>
                <w:vertAlign w:val="superscript"/>
              </w:rPr>
              <w:t>4</w:t>
            </w:r>
          </w:p>
        </w:tc>
      </w:tr>
      <w:tr w:rsidR="009920C2" w:rsidRPr="00176621" w14:paraId="15A7CCBE" w14:textId="77777777" w:rsidTr="003E72B0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gridSpan w:val="2"/>
            <w:vMerge/>
          </w:tcPr>
          <w:p w14:paraId="4D364A26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7" w:type="pct"/>
            <w:shd w:val="clear" w:color="auto" w:fill="F2F2F2" w:themeFill="background1" w:themeFillShade="F2"/>
          </w:tcPr>
          <w:p w14:paraId="36C77CEE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n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14:paraId="1E108A3C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vertAlign w:val="superscript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%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  <w:r w:rsidRPr="0017662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560" w:type="pct"/>
            <w:shd w:val="clear" w:color="auto" w:fill="F2F2F2" w:themeFill="background1" w:themeFillShade="F2"/>
          </w:tcPr>
          <w:p w14:paraId="7B93D61E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n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14:paraId="718A312F" w14:textId="77777777" w:rsidR="009920C2" w:rsidRPr="00990A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vertAlign w:val="superscript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%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5D8DD4AE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</w:p>
        </w:tc>
        <w:tc>
          <w:tcPr>
            <w:tcW w:w="430" w:type="pct"/>
            <w:shd w:val="clear" w:color="auto" w:fill="F2F2F2" w:themeFill="background1" w:themeFillShade="F2"/>
          </w:tcPr>
          <w:p w14:paraId="2524F3C0" w14:textId="77777777" w:rsidR="009920C2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920C2" w:rsidRPr="00176621" w14:paraId="557F8136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gridSpan w:val="2"/>
            <w:vAlign w:val="center"/>
          </w:tcPr>
          <w:p w14:paraId="61664D25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CECFBF2">
              <w:rPr>
                <w:rFonts w:ascii="Arial" w:hAnsi="Arial" w:cs="Arial"/>
                <w:b w:val="0"/>
                <w:color w:val="44546A" w:themeColor="text2"/>
                <w:sz w:val="20"/>
                <w:szCs w:val="20"/>
              </w:rPr>
              <w:t>Tested</w:t>
            </w:r>
            <w:r w:rsidRPr="15696AD0"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  <w:vAlign w:val="center"/>
          </w:tcPr>
          <w:p w14:paraId="2CAA6028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11,050</w:t>
            </w:r>
          </w:p>
        </w:tc>
        <w:tc>
          <w:tcPr>
            <w:tcW w:w="431" w:type="pct"/>
            <w:vAlign w:val="center"/>
          </w:tcPr>
          <w:p w14:paraId="1F379E99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560" w:type="pct"/>
            <w:vAlign w:val="center"/>
          </w:tcPr>
          <w:p w14:paraId="33CC12AC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10,962</w:t>
            </w:r>
          </w:p>
        </w:tc>
        <w:tc>
          <w:tcPr>
            <w:tcW w:w="431" w:type="pct"/>
            <w:vAlign w:val="center"/>
          </w:tcPr>
          <w:p w14:paraId="36F52814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734" w:type="pct"/>
            <w:vAlign w:val="center"/>
          </w:tcPr>
          <w:p w14:paraId="760F47B3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23,885</w:t>
            </w:r>
          </w:p>
        </w:tc>
        <w:tc>
          <w:tcPr>
            <w:tcW w:w="430" w:type="pct"/>
          </w:tcPr>
          <w:p w14:paraId="433EA652" w14:textId="77777777" w:rsidR="009920C2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20C2" w:rsidRPr="00176621" w14:paraId="09D118D5" w14:textId="77777777" w:rsidTr="003E72B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gridSpan w:val="2"/>
            <w:vAlign w:val="center"/>
          </w:tcPr>
          <w:p w14:paraId="178CE443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704E1017"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LTBI test positive</w:t>
            </w:r>
          </w:p>
        </w:tc>
        <w:tc>
          <w:tcPr>
            <w:tcW w:w="647" w:type="pct"/>
            <w:vAlign w:val="center"/>
          </w:tcPr>
          <w:p w14:paraId="131DAA8C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2,498</w:t>
            </w:r>
          </w:p>
        </w:tc>
        <w:tc>
          <w:tcPr>
            <w:tcW w:w="431" w:type="pct"/>
            <w:vAlign w:val="center"/>
          </w:tcPr>
          <w:p w14:paraId="742465E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60" w:type="pct"/>
            <w:vAlign w:val="center"/>
          </w:tcPr>
          <w:p w14:paraId="3366D6E4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431" w:type="pct"/>
            <w:vAlign w:val="center"/>
          </w:tcPr>
          <w:p w14:paraId="0B4EBFAC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3.1%</w:t>
            </w:r>
          </w:p>
        </w:tc>
        <w:tc>
          <w:tcPr>
            <w:tcW w:w="734" w:type="pct"/>
            <w:vAlign w:val="center"/>
          </w:tcPr>
          <w:p w14:paraId="671BF0F7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2,877 (12%)</w:t>
            </w:r>
          </w:p>
        </w:tc>
        <w:tc>
          <w:tcPr>
            <w:tcW w:w="430" w:type="pct"/>
          </w:tcPr>
          <w:p w14:paraId="35F81883" w14:textId="77777777" w:rsidR="009920C2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&lt;0.01</w:t>
            </w:r>
          </w:p>
        </w:tc>
      </w:tr>
      <w:tr w:rsidR="009920C2" w:rsidRPr="00176621" w14:paraId="086C4261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gridSpan w:val="2"/>
            <w:vAlign w:val="center"/>
          </w:tcPr>
          <w:p w14:paraId="35B2628B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vertAlign w:val="superscript"/>
              </w:rPr>
            </w:pPr>
            <w:r w:rsidRPr="0017662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Diagnosed with LTBI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647" w:type="pct"/>
            <w:vAlign w:val="center"/>
          </w:tcPr>
          <w:p w14:paraId="177B4D0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2,192</w:t>
            </w:r>
          </w:p>
        </w:tc>
        <w:tc>
          <w:tcPr>
            <w:tcW w:w="431" w:type="pct"/>
            <w:vAlign w:val="center"/>
          </w:tcPr>
          <w:p w14:paraId="7047F4C4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560" w:type="pct"/>
            <w:vAlign w:val="center"/>
          </w:tcPr>
          <w:p w14:paraId="1385E583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431" w:type="pct"/>
            <w:vAlign w:val="center"/>
          </w:tcPr>
          <w:p w14:paraId="12C2920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87%</w:t>
            </w:r>
          </w:p>
        </w:tc>
        <w:tc>
          <w:tcPr>
            <w:tcW w:w="734" w:type="pct"/>
            <w:vAlign w:val="center"/>
          </w:tcPr>
          <w:p w14:paraId="4D69F728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2,515 (87%)</w:t>
            </w:r>
          </w:p>
        </w:tc>
        <w:tc>
          <w:tcPr>
            <w:tcW w:w="430" w:type="pct"/>
          </w:tcPr>
          <w:p w14:paraId="753B8BBA" w14:textId="77777777" w:rsidR="009920C2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&lt;0.01</w:t>
            </w:r>
          </w:p>
        </w:tc>
      </w:tr>
      <w:tr w:rsidR="009920C2" w:rsidRPr="00176621" w14:paraId="05773993" w14:textId="77777777" w:rsidTr="003E72B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gridSpan w:val="2"/>
            <w:vAlign w:val="center"/>
          </w:tcPr>
          <w:p w14:paraId="3C3B349E" w14:textId="77777777" w:rsidR="009920C2" w:rsidRPr="00D036B9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vertAlign w:val="superscript"/>
              </w:rPr>
            </w:pPr>
            <w:r w:rsidRPr="0017662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Started LTBI treatment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47" w:type="pct"/>
            <w:vAlign w:val="center"/>
          </w:tcPr>
          <w:p w14:paraId="465E5FC6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431" w:type="pct"/>
            <w:vAlign w:val="center"/>
          </w:tcPr>
          <w:p w14:paraId="2D8D089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</w:t>
            </w:r>
          </w:p>
        </w:tc>
        <w:tc>
          <w:tcPr>
            <w:tcW w:w="560" w:type="pct"/>
            <w:vAlign w:val="center"/>
          </w:tcPr>
          <w:p w14:paraId="16907F80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31" w:type="pct"/>
            <w:vAlign w:val="center"/>
          </w:tcPr>
          <w:p w14:paraId="40780CC5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734" w:type="pct"/>
            <w:vAlign w:val="center"/>
          </w:tcPr>
          <w:p w14:paraId="588EAF0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1,073 (43%)</w:t>
            </w:r>
          </w:p>
        </w:tc>
        <w:tc>
          <w:tcPr>
            <w:tcW w:w="430" w:type="pct"/>
          </w:tcPr>
          <w:p w14:paraId="74DE0BCA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0.145</w:t>
            </w:r>
          </w:p>
        </w:tc>
      </w:tr>
      <w:tr w:rsidR="009920C2" w:rsidRPr="00176621" w14:paraId="2435BAF1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14:paraId="49E8732D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759756B8" w14:textId="77777777" w:rsidR="009920C2" w:rsidRPr="00176621" w:rsidRDefault="009920C2" w:rsidP="003E72B0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62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isoniazid</w:t>
            </w:r>
          </w:p>
        </w:tc>
        <w:tc>
          <w:tcPr>
            <w:tcW w:w="647" w:type="pct"/>
            <w:vAlign w:val="center"/>
          </w:tcPr>
          <w:p w14:paraId="49E6B4B9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431" w:type="pct"/>
            <w:vAlign w:val="center"/>
          </w:tcPr>
          <w:p w14:paraId="32AFFBFE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560" w:type="pct"/>
            <w:vAlign w:val="center"/>
          </w:tcPr>
          <w:p w14:paraId="2463107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31" w:type="pct"/>
            <w:vAlign w:val="center"/>
          </w:tcPr>
          <w:p w14:paraId="077CAE15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734" w:type="pct"/>
            <w:vAlign w:val="center"/>
          </w:tcPr>
          <w:p w14:paraId="552F1C37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430" w:type="pct"/>
            <w:vMerge w:val="restart"/>
          </w:tcPr>
          <w:p w14:paraId="0B5A59DA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&lt;0.01</w:t>
            </w:r>
          </w:p>
        </w:tc>
      </w:tr>
      <w:tr w:rsidR="009920C2" w:rsidRPr="00176621" w14:paraId="1AB1A9C7" w14:textId="77777777" w:rsidTr="003E72B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14:paraId="3C51729D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1BA6BA51" w14:textId="77777777" w:rsidR="009920C2" w:rsidRPr="00176621" w:rsidRDefault="009920C2" w:rsidP="003E72B0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62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isoniazid + rifampin/rifabutin</w:t>
            </w:r>
          </w:p>
        </w:tc>
        <w:tc>
          <w:tcPr>
            <w:tcW w:w="647" w:type="pct"/>
            <w:vAlign w:val="center"/>
          </w:tcPr>
          <w:p w14:paraId="664681A0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1" w:type="pct"/>
            <w:vAlign w:val="center"/>
          </w:tcPr>
          <w:p w14:paraId="39E7CCEA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560" w:type="pct"/>
            <w:vAlign w:val="center"/>
          </w:tcPr>
          <w:p w14:paraId="0CACF52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1" w:type="pct"/>
            <w:vAlign w:val="center"/>
          </w:tcPr>
          <w:p w14:paraId="62462306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734" w:type="pct"/>
            <w:vAlign w:val="center"/>
          </w:tcPr>
          <w:p w14:paraId="37BA840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30" w:type="pct"/>
            <w:vMerge/>
          </w:tcPr>
          <w:p w14:paraId="0968F5FD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20C2" w:rsidRPr="00176621" w14:paraId="0DC82190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14:paraId="2CCAF9FB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01E4DEFD" w14:textId="77777777" w:rsidR="009920C2" w:rsidRPr="00176621" w:rsidRDefault="009920C2" w:rsidP="003E72B0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62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isoniazid + rifapentine</w:t>
            </w:r>
          </w:p>
        </w:tc>
        <w:tc>
          <w:tcPr>
            <w:tcW w:w="647" w:type="pct"/>
            <w:vAlign w:val="center"/>
          </w:tcPr>
          <w:p w14:paraId="444B4A5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31" w:type="pct"/>
            <w:vAlign w:val="center"/>
          </w:tcPr>
          <w:p w14:paraId="1770529D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560" w:type="pct"/>
            <w:vAlign w:val="center"/>
          </w:tcPr>
          <w:p w14:paraId="4B1E1B70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31" w:type="pct"/>
            <w:vAlign w:val="center"/>
          </w:tcPr>
          <w:p w14:paraId="5D0F7FB0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734" w:type="pct"/>
            <w:vAlign w:val="center"/>
          </w:tcPr>
          <w:p w14:paraId="36A26146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430" w:type="pct"/>
            <w:vMerge/>
          </w:tcPr>
          <w:p w14:paraId="0E7A8835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20C2" w:rsidRPr="00176621" w14:paraId="5C54A026" w14:textId="77777777" w:rsidTr="003E72B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14:paraId="51BC4FA7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4048984D" w14:textId="77777777" w:rsidR="009920C2" w:rsidRPr="00176621" w:rsidRDefault="009920C2" w:rsidP="003E72B0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rifampin</w:t>
            </w:r>
          </w:p>
        </w:tc>
        <w:tc>
          <w:tcPr>
            <w:tcW w:w="647" w:type="pct"/>
            <w:vAlign w:val="center"/>
          </w:tcPr>
          <w:p w14:paraId="3C07AB9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431" w:type="pct"/>
            <w:vAlign w:val="center"/>
          </w:tcPr>
          <w:p w14:paraId="0D4FD0F3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560" w:type="pct"/>
            <w:vAlign w:val="center"/>
          </w:tcPr>
          <w:p w14:paraId="4A0FBA1E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31" w:type="pct"/>
            <w:vAlign w:val="center"/>
          </w:tcPr>
          <w:p w14:paraId="5863E172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55%</w:t>
            </w:r>
          </w:p>
        </w:tc>
        <w:tc>
          <w:tcPr>
            <w:tcW w:w="734" w:type="pct"/>
            <w:vAlign w:val="center"/>
          </w:tcPr>
          <w:p w14:paraId="0ACCB65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430" w:type="pct"/>
            <w:vMerge/>
          </w:tcPr>
          <w:p w14:paraId="6A7D19D3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20C2" w:rsidRPr="00176621" w14:paraId="191E1D94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14:paraId="3590AC3E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0A2CA995" w14:textId="77777777" w:rsidR="009920C2" w:rsidRPr="00176621" w:rsidRDefault="009920C2" w:rsidP="003E72B0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176621">
              <w:rPr>
                <w:rFonts w:ascii="Arial" w:hAnsi="Arial" w:cs="Arial"/>
                <w:color w:val="000000" w:themeColor="text1"/>
                <w:sz w:val="20"/>
                <w:szCs w:val="20"/>
              </w:rPr>
              <w:t>nknown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/Other</w:t>
            </w:r>
          </w:p>
        </w:tc>
        <w:tc>
          <w:tcPr>
            <w:tcW w:w="647" w:type="pct"/>
            <w:vAlign w:val="center"/>
          </w:tcPr>
          <w:p w14:paraId="6E72718C" w14:textId="77777777" w:rsidR="009920C2" w:rsidRPr="007C0307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C03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" w:type="pct"/>
            <w:vAlign w:val="center"/>
          </w:tcPr>
          <w:p w14:paraId="377AFF72" w14:textId="77777777" w:rsidR="009920C2" w:rsidRPr="007C0307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C0307">
              <w:rPr>
                <w:rFonts w:ascii="Arial" w:hAnsi="Arial" w:cs="Arial"/>
                <w:sz w:val="20"/>
                <w:szCs w:val="20"/>
              </w:rPr>
              <w:t>0.4%</w:t>
            </w:r>
          </w:p>
        </w:tc>
        <w:tc>
          <w:tcPr>
            <w:tcW w:w="560" w:type="pct"/>
            <w:vAlign w:val="center"/>
          </w:tcPr>
          <w:p w14:paraId="04A68E5C" w14:textId="77777777" w:rsidR="009920C2" w:rsidRPr="003F102C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10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" w:type="pct"/>
            <w:vAlign w:val="center"/>
          </w:tcPr>
          <w:p w14:paraId="04B02004" w14:textId="77777777" w:rsidR="009920C2" w:rsidRPr="003F102C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102C"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734" w:type="pct"/>
            <w:vAlign w:val="center"/>
          </w:tcPr>
          <w:p w14:paraId="73C8DC97" w14:textId="77777777" w:rsidR="009920C2" w:rsidRPr="00136504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2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" w:type="pct"/>
            <w:vMerge/>
          </w:tcPr>
          <w:p w14:paraId="7BC39453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20C2" w:rsidRPr="00176621" w14:paraId="4B98440A" w14:textId="77777777" w:rsidTr="003E72B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gridSpan w:val="2"/>
            <w:vAlign w:val="center"/>
          </w:tcPr>
          <w:p w14:paraId="3361801F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7662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Completed LTBI treatment</w:t>
            </w:r>
          </w:p>
        </w:tc>
        <w:tc>
          <w:tcPr>
            <w:tcW w:w="647" w:type="pct"/>
            <w:vAlign w:val="center"/>
          </w:tcPr>
          <w:p w14:paraId="3E7CF86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431" w:type="pct"/>
            <w:vAlign w:val="center"/>
          </w:tcPr>
          <w:p w14:paraId="5B5385A0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560" w:type="pct"/>
            <w:vAlign w:val="center"/>
          </w:tcPr>
          <w:p w14:paraId="2E3A3A05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31" w:type="pct"/>
            <w:vAlign w:val="center"/>
          </w:tcPr>
          <w:p w14:paraId="0AD0A511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734" w:type="pct"/>
            <w:vAlign w:val="center"/>
          </w:tcPr>
          <w:p w14:paraId="01592917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817 (76%)</w:t>
            </w:r>
          </w:p>
        </w:tc>
        <w:tc>
          <w:tcPr>
            <w:tcW w:w="430" w:type="pct"/>
          </w:tcPr>
          <w:p w14:paraId="5489F567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&lt;0.01</w:t>
            </w:r>
          </w:p>
        </w:tc>
      </w:tr>
    </w:tbl>
    <w:bookmarkEnd w:id="0"/>
    <w:p w14:paraId="2B770DD9" w14:textId="77777777" w:rsidR="009920C2" w:rsidRPr="005C24B9" w:rsidRDefault="009920C2" w:rsidP="009920C2">
      <w:pPr>
        <w:ind w:hanging="450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5C24B9">
        <w:rPr>
          <w:rFonts w:ascii="Arial" w:hAnsi="Arial" w:cs="Arial"/>
          <w:color w:val="000000" w:themeColor="text1"/>
          <w:sz w:val="18"/>
          <w:szCs w:val="18"/>
        </w:rPr>
        <w:t>LTBI, Latent tuberculosis infection</w:t>
      </w:r>
    </w:p>
    <w:p w14:paraId="115B0BFC" w14:textId="77777777" w:rsidR="009920C2" w:rsidRDefault="009920C2" w:rsidP="009920C2">
      <w:pPr>
        <w:ind w:left="-450" w:hanging="90"/>
        <w:contextualSpacing/>
        <w:rPr>
          <w:rFonts w:ascii="Arial" w:hAnsi="Arial" w:cs="Arial"/>
          <w:bCs/>
          <w:color w:val="000000" w:themeColor="text1"/>
          <w:sz w:val="18"/>
          <w:szCs w:val="18"/>
        </w:rPr>
      </w:pPr>
      <w:r w:rsidRPr="005C24B9"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Percentages are relative to the prior row. Percentages for medications is relative to those starting therapy.</w:t>
      </w:r>
    </w:p>
    <w:p w14:paraId="6CE78754" w14:textId="77777777" w:rsidR="009920C2" w:rsidRDefault="009920C2" w:rsidP="009920C2">
      <w:pPr>
        <w:ind w:left="-450" w:hanging="90"/>
        <w:contextualSpacing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t xml:space="preserve">2 </w:t>
      </w:r>
      <w:r w:rsidRPr="005C24B9">
        <w:rPr>
          <w:rFonts w:ascii="Arial" w:hAnsi="Arial" w:cs="Arial"/>
          <w:color w:val="000000" w:themeColor="text1"/>
          <w:sz w:val="18"/>
          <w:szCs w:val="18"/>
        </w:rPr>
        <w:t xml:space="preserve">Diagnosed individuals based on clinical documentation of an LTBI diagnosis or LTBI treatment </w:t>
      </w:r>
      <w:proofErr w:type="gramStart"/>
      <w:r w:rsidRPr="005C24B9">
        <w:rPr>
          <w:rFonts w:ascii="Arial" w:hAnsi="Arial" w:cs="Arial"/>
          <w:color w:val="000000" w:themeColor="text1"/>
          <w:sz w:val="18"/>
          <w:szCs w:val="18"/>
        </w:rPr>
        <w:t>initiation, and</w:t>
      </w:r>
      <w:proofErr w:type="gramEnd"/>
      <w:r w:rsidRPr="005C24B9">
        <w:rPr>
          <w:rFonts w:ascii="Arial" w:hAnsi="Arial" w:cs="Arial"/>
          <w:color w:val="000000" w:themeColor="text1"/>
          <w:sz w:val="18"/>
          <w:szCs w:val="18"/>
        </w:rPr>
        <w:t xml:space="preserve"> includes a minority of individuals without available chest x</w:t>
      </w:r>
      <w:r>
        <w:rPr>
          <w:rFonts w:ascii="Arial" w:hAnsi="Arial" w:cs="Arial"/>
          <w:color w:val="000000" w:themeColor="text1"/>
          <w:sz w:val="18"/>
          <w:szCs w:val="18"/>
        </w:rPr>
        <w:t>-</w:t>
      </w:r>
      <w:r w:rsidRPr="005C24B9">
        <w:rPr>
          <w:rFonts w:ascii="Arial" w:hAnsi="Arial" w:cs="Arial"/>
          <w:color w:val="000000" w:themeColor="text1"/>
          <w:sz w:val="18"/>
          <w:szCs w:val="18"/>
        </w:rPr>
        <w:t>ray results or laboratory test results.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Thirty-three individuals had a diagnosis of LTBI without any documented positive test results. 2,264 (91%) of non-USB and 286 (85%) had documentation of chest x-ray completed.</w:t>
      </w:r>
    </w:p>
    <w:p w14:paraId="093F97FB" w14:textId="77777777" w:rsidR="009920C2" w:rsidRPr="00990A21" w:rsidRDefault="009920C2" w:rsidP="009920C2">
      <w:pPr>
        <w:ind w:left="-450" w:hanging="90"/>
        <w:contextualSpacing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Pr="005C24B9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Pr="005C24B9">
        <w:rPr>
          <w:rFonts w:ascii="Arial" w:hAnsi="Arial" w:cs="Arial"/>
          <w:color w:val="000000" w:themeColor="text1"/>
          <w:sz w:val="18"/>
          <w:szCs w:val="18"/>
        </w:rPr>
        <w:t xml:space="preserve">Total includes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1,873</w:t>
      </w:r>
      <w:r w:rsidRPr="005C24B9">
        <w:rPr>
          <w:rFonts w:ascii="Arial" w:eastAsia="Arial" w:hAnsi="Arial" w:cs="Arial"/>
          <w:color w:val="000000" w:themeColor="text1"/>
          <w:sz w:val="18"/>
          <w:szCs w:val="18"/>
        </w:rPr>
        <w:t xml:space="preserve"> patients for whom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b</w:t>
      </w:r>
      <w:r w:rsidRPr="005C24B9">
        <w:rPr>
          <w:rFonts w:ascii="Arial" w:eastAsia="Arial" w:hAnsi="Arial" w:cs="Arial"/>
          <w:color w:val="000000" w:themeColor="text1"/>
          <w:sz w:val="18"/>
          <w:szCs w:val="18"/>
        </w:rPr>
        <w:t xml:space="preserve">irth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c</w:t>
      </w:r>
      <w:r w:rsidRPr="005C24B9">
        <w:rPr>
          <w:rFonts w:ascii="Arial" w:eastAsia="Arial" w:hAnsi="Arial" w:cs="Arial"/>
          <w:color w:val="000000" w:themeColor="text1"/>
          <w:sz w:val="18"/>
          <w:szCs w:val="18"/>
        </w:rPr>
        <w:t>ountry was not known, of whom 43 had a positive test result, 3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5C24B9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were </w:t>
      </w:r>
      <w:r w:rsidRPr="005C24B9">
        <w:rPr>
          <w:rFonts w:ascii="Arial" w:eastAsia="Arial" w:hAnsi="Arial" w:cs="Arial"/>
          <w:color w:val="000000" w:themeColor="text1"/>
          <w:sz w:val="18"/>
          <w:szCs w:val="18"/>
        </w:rPr>
        <w:t xml:space="preserve">diagnosed with LTBI, and 10 started </w:t>
      </w:r>
      <w:proofErr w:type="gramStart"/>
      <w:r w:rsidRPr="005C24B9">
        <w:rPr>
          <w:rFonts w:ascii="Arial" w:eastAsia="Arial" w:hAnsi="Arial" w:cs="Arial"/>
          <w:color w:val="000000" w:themeColor="text1"/>
          <w:sz w:val="18"/>
          <w:szCs w:val="18"/>
        </w:rPr>
        <w:t>therapy</w:t>
      </w:r>
      <w:proofErr w:type="gramEnd"/>
      <w:r w:rsidRPr="005C24B9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</w:p>
    <w:p w14:paraId="67B63267" w14:textId="77777777" w:rsidR="009920C2" w:rsidRDefault="009920C2" w:rsidP="009920C2">
      <w:pPr>
        <w:ind w:left="-450" w:hanging="90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5C24B9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4 </w:t>
      </w:r>
      <w:r w:rsidRPr="00990A21">
        <w:rPr>
          <w:rFonts w:ascii="Arial" w:eastAsia="Arial" w:hAnsi="Arial" w:cs="Arial"/>
          <w:color w:val="000000" w:themeColor="text1"/>
          <w:sz w:val="18"/>
          <w:szCs w:val="18"/>
        </w:rPr>
        <w:t>P-values for comparisons between non-US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–</w:t>
      </w:r>
      <w:r w:rsidRPr="00990A21">
        <w:rPr>
          <w:rFonts w:ascii="Arial" w:eastAsia="Arial" w:hAnsi="Arial" w:cs="Arial"/>
          <w:color w:val="000000" w:themeColor="text1"/>
          <w:sz w:val="18"/>
          <w:szCs w:val="18"/>
        </w:rPr>
        <w:t>born and US-born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individuals.</w:t>
      </w:r>
    </w:p>
    <w:p w14:paraId="53B8786D" w14:textId="77777777" w:rsidR="009920C2" w:rsidRDefault="009920C2" w:rsidP="009920C2">
      <w:pPr>
        <w:ind w:left="-450" w:hanging="90"/>
        <w:contextualSpacing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The proportion diagnosed with LTBI by race was 25% [973/3875], 23% 575/2509, 14% [14/3201] for Asian, Black, White, respectively, among non-USB individuals.  The proportion diagnosed with LTBI differed by reason for testing and were highest among contacts of individuals with TB disease (19.6% [316/1616]), 16% (816/5144) among individuals tested for refugee associated care, 35% (606/1701) among other immigration related care overall [ (50% [335/662] among subgroup of individuals with Class B1 visa), and lower among individuals tested for student evaluation (158/3062, 5%), and employment (363/6688, 5%).  </w:t>
      </w:r>
    </w:p>
    <w:p w14:paraId="66F0D3B9" w14:textId="77777777" w:rsidR="009920C2" w:rsidRPr="00813B7E" w:rsidRDefault="009920C2" w:rsidP="009920C2">
      <w:pPr>
        <w:ind w:left="-450" w:hanging="90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084720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The proportion of individuals with LTBI starting therapy was highest among individuals evaluated as part of contact investigations (231/316, 73%), of which 70% (162/231) completed therapy. </w:t>
      </w:r>
      <w:bookmarkStart w:id="1" w:name="_Hlk96879988"/>
      <w:r>
        <w:rPr>
          <w:rFonts w:ascii="Arial" w:hAnsi="Arial" w:cs="Arial"/>
          <w:color w:val="000000" w:themeColor="text1"/>
          <w:sz w:val="18"/>
          <w:szCs w:val="18"/>
        </w:rPr>
        <w:t xml:space="preserve">Among 816 refugees diagnosed with LTBI, 494 (61%) started therapy, of which 396 (80%) completed therapy.  Among all individuals evaluated for immigration related care (non-refugee) with diagnosis of LTBI 31% (190/606) initiated therapy, of which 154 (81%) completed treatment. </w:t>
      </w:r>
      <w:bookmarkEnd w:id="1"/>
    </w:p>
    <w:p w14:paraId="3FF75026" w14:textId="77777777" w:rsidR="009920C2" w:rsidRPr="00990A21" w:rsidRDefault="009920C2" w:rsidP="009920C2">
      <w:pPr>
        <w:ind w:left="-450" w:hanging="90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0DCAA9E2" w14:textId="77777777" w:rsidR="009920C2" w:rsidRDefault="009920C2" w:rsidP="009920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E4020B" w14:textId="77777777" w:rsidR="009920C2" w:rsidRDefault="009920C2" w:rsidP="009920C2">
      <w:pPr>
        <w:ind w:left="-446"/>
        <w:contextualSpacing/>
        <w:outlineLvl w:val="1"/>
        <w:rPr>
          <w:rFonts w:ascii="Arial" w:hAnsi="Arial" w:cs="Arial"/>
        </w:rPr>
      </w:pPr>
      <w:r w:rsidRPr="008B3FE3">
        <w:rPr>
          <w:rFonts w:ascii="Arial" w:hAnsi="Arial" w:cs="Arial"/>
          <w:b/>
        </w:rPr>
        <w:lastRenderedPageBreak/>
        <w:t>Supplement</w:t>
      </w:r>
      <w:r>
        <w:rPr>
          <w:rFonts w:ascii="Arial" w:hAnsi="Arial" w:cs="Arial"/>
          <w:b/>
        </w:rPr>
        <w:t>al</w:t>
      </w:r>
      <w:r w:rsidRPr="008B3FE3">
        <w:rPr>
          <w:rFonts w:ascii="Arial" w:hAnsi="Arial" w:cs="Arial"/>
          <w:b/>
        </w:rPr>
        <w:t xml:space="preserve"> Table </w:t>
      </w:r>
      <w:r>
        <w:rPr>
          <w:rFonts w:ascii="Arial" w:hAnsi="Arial" w:cs="Arial"/>
          <w:b/>
        </w:rPr>
        <w:t>3</w:t>
      </w:r>
      <w:r w:rsidRPr="008B3F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LTBI C</w:t>
      </w:r>
      <w:r w:rsidRPr="00D7170F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C</w:t>
      </w:r>
      <w:r w:rsidRPr="00D7170F">
        <w:rPr>
          <w:rFonts w:ascii="Arial" w:hAnsi="Arial" w:cs="Arial"/>
        </w:rPr>
        <w:t>ascad</w:t>
      </w:r>
      <w:r>
        <w:rPr>
          <w:rFonts w:ascii="Arial" w:hAnsi="Arial" w:cs="Arial"/>
        </w:rPr>
        <w:t>e inclusive of those with health department directed testing AND those referred into care with a known positive test.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</w:rPr>
        <w:t xml:space="preserve"> </w:t>
      </w:r>
    </w:p>
    <w:p w14:paraId="702F29A6" w14:textId="77777777" w:rsidR="009920C2" w:rsidRPr="00D7170F" w:rsidRDefault="009920C2" w:rsidP="009920C2">
      <w:pPr>
        <w:contextualSpacing/>
        <w:rPr>
          <w:rFonts w:ascii="Arial" w:hAnsi="Arial" w:cs="Arial"/>
        </w:rPr>
      </w:pPr>
    </w:p>
    <w:tbl>
      <w:tblPr>
        <w:tblStyle w:val="PlainTable1"/>
        <w:tblW w:w="10082" w:type="dxa"/>
        <w:tblInd w:w="-455" w:type="dxa"/>
        <w:tblLook w:val="04A0" w:firstRow="1" w:lastRow="0" w:firstColumn="1" w:lastColumn="0" w:noHBand="0" w:noVBand="1"/>
      </w:tblPr>
      <w:tblGrid>
        <w:gridCol w:w="4171"/>
        <w:gridCol w:w="1420"/>
        <w:gridCol w:w="1067"/>
        <w:gridCol w:w="1070"/>
        <w:gridCol w:w="1085"/>
        <w:gridCol w:w="1269"/>
      </w:tblGrid>
      <w:tr w:rsidR="009920C2" w:rsidRPr="00176621" w14:paraId="31BEBC7D" w14:textId="77777777" w:rsidTr="003E7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1" w:type="dxa"/>
            <w:vMerge w:val="restart"/>
            <w:vAlign w:val="center"/>
          </w:tcPr>
          <w:p w14:paraId="5C5DB459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176621">
              <w:rPr>
                <w:rFonts w:ascii="Arial" w:hAnsi="Arial" w:cs="Arial"/>
                <w:color w:val="000000" w:themeColor="text1"/>
              </w:rPr>
              <w:t>Cascade Step</w:t>
            </w:r>
          </w:p>
        </w:tc>
        <w:tc>
          <w:tcPr>
            <w:tcW w:w="4642" w:type="dxa"/>
            <w:gridSpan w:val="4"/>
          </w:tcPr>
          <w:p w14:paraId="11DC9BA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1269" w:type="dxa"/>
          </w:tcPr>
          <w:p w14:paraId="574CA0B9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</w:tr>
      <w:tr w:rsidR="009920C2" w:rsidRPr="00176621" w14:paraId="4527DF37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1" w:type="dxa"/>
            <w:vMerge/>
          </w:tcPr>
          <w:p w14:paraId="7D51D4BC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475B1B85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Non-US—born </w:t>
            </w:r>
          </w:p>
        </w:tc>
        <w:tc>
          <w:tcPr>
            <w:tcW w:w="2155" w:type="dxa"/>
            <w:gridSpan w:val="2"/>
            <w:vAlign w:val="center"/>
          </w:tcPr>
          <w:p w14:paraId="0D3B9476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US-born</w:t>
            </w:r>
          </w:p>
        </w:tc>
        <w:tc>
          <w:tcPr>
            <w:tcW w:w="1269" w:type="dxa"/>
            <w:vAlign w:val="center"/>
          </w:tcPr>
          <w:p w14:paraId="41BB2FDC" w14:textId="77777777" w:rsidR="009920C2" w:rsidRPr="00B35CCA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Total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>3</w:t>
            </w:r>
          </w:p>
        </w:tc>
      </w:tr>
      <w:tr w:rsidR="009920C2" w:rsidRPr="00176621" w14:paraId="3FC62218" w14:textId="77777777" w:rsidTr="003E72B0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1" w:type="dxa"/>
            <w:vMerge/>
            <w:shd w:val="clear" w:color="auto" w:fill="F2F2F2" w:themeFill="background1" w:themeFillShade="F2"/>
          </w:tcPr>
          <w:p w14:paraId="25AB2815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322D8512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n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1756DC68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vertAlign w:val="superscript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%</w:t>
            </w:r>
            <w:r w:rsidRPr="006533FE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17662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7A524597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n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41449A75" w14:textId="77777777" w:rsidR="009920C2" w:rsidRPr="006533FE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176621">
              <w:rPr>
                <w:rFonts w:ascii="Arial" w:hAnsi="Arial" w:cs="Arial"/>
                <w:b/>
                <w:color w:val="000000" w:themeColor="text1"/>
              </w:rPr>
              <w:t>%</w:t>
            </w:r>
            <w:r w:rsidRPr="006533FE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7FE643D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</w:p>
        </w:tc>
      </w:tr>
      <w:tr w:rsidR="009920C2" w:rsidRPr="00176621" w14:paraId="35FC148E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1" w:type="dxa"/>
            <w:vAlign w:val="center"/>
          </w:tcPr>
          <w:p w14:paraId="2F16BE2C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7662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LTBI test positive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0" w:type="dxa"/>
            <w:vAlign w:val="center"/>
          </w:tcPr>
          <w:p w14:paraId="168A7474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3,811</w:t>
            </w:r>
          </w:p>
        </w:tc>
        <w:tc>
          <w:tcPr>
            <w:tcW w:w="1067" w:type="dxa"/>
            <w:vAlign w:val="center"/>
          </w:tcPr>
          <w:p w14:paraId="58A25125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070" w:type="dxa"/>
            <w:vAlign w:val="center"/>
          </w:tcPr>
          <w:p w14:paraId="660FCB76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1085" w:type="dxa"/>
            <w:vAlign w:val="center"/>
          </w:tcPr>
          <w:p w14:paraId="06FD519A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269" w:type="dxa"/>
            <w:vAlign w:val="center"/>
          </w:tcPr>
          <w:p w14:paraId="3F302B5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4,563</w:t>
            </w:r>
          </w:p>
        </w:tc>
      </w:tr>
      <w:tr w:rsidR="009920C2" w:rsidRPr="00176621" w14:paraId="27D2DF37" w14:textId="77777777" w:rsidTr="003E72B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1" w:type="dxa"/>
            <w:vAlign w:val="center"/>
          </w:tcPr>
          <w:p w14:paraId="22AD64E7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vertAlign w:val="superscript"/>
              </w:rPr>
            </w:pPr>
            <w:r w:rsidRPr="0017662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Diagnosed with LTBI</w:t>
            </w:r>
          </w:p>
        </w:tc>
        <w:tc>
          <w:tcPr>
            <w:tcW w:w="1420" w:type="dxa"/>
            <w:vAlign w:val="center"/>
          </w:tcPr>
          <w:p w14:paraId="7104B92C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3,336</w:t>
            </w:r>
          </w:p>
        </w:tc>
        <w:tc>
          <w:tcPr>
            <w:tcW w:w="1067" w:type="dxa"/>
            <w:vAlign w:val="center"/>
          </w:tcPr>
          <w:p w14:paraId="5D40C338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1070" w:type="dxa"/>
            <w:vAlign w:val="center"/>
          </w:tcPr>
          <w:p w14:paraId="188E2D76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464</w:t>
            </w:r>
          </w:p>
        </w:tc>
        <w:tc>
          <w:tcPr>
            <w:tcW w:w="1085" w:type="dxa"/>
            <w:vAlign w:val="center"/>
          </w:tcPr>
          <w:p w14:paraId="2172D3D9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82%</w:t>
            </w:r>
          </w:p>
        </w:tc>
        <w:tc>
          <w:tcPr>
            <w:tcW w:w="1269" w:type="dxa"/>
            <w:vAlign w:val="center"/>
          </w:tcPr>
          <w:p w14:paraId="4D35E65A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3,972(87%)</w:t>
            </w:r>
          </w:p>
        </w:tc>
      </w:tr>
      <w:tr w:rsidR="009920C2" w:rsidRPr="00176621" w14:paraId="16EA3E1B" w14:textId="77777777" w:rsidTr="003E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1" w:type="dxa"/>
            <w:vAlign w:val="center"/>
          </w:tcPr>
          <w:p w14:paraId="5FCA169F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vertAlign w:val="superscript"/>
              </w:rPr>
            </w:pPr>
            <w:r w:rsidRPr="0017662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Started LTBI treatment</w:t>
            </w:r>
          </w:p>
        </w:tc>
        <w:tc>
          <w:tcPr>
            <w:tcW w:w="1420" w:type="dxa"/>
            <w:vAlign w:val="center"/>
          </w:tcPr>
          <w:p w14:paraId="66D2C333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1,474</w:t>
            </w:r>
          </w:p>
        </w:tc>
        <w:tc>
          <w:tcPr>
            <w:tcW w:w="1067" w:type="dxa"/>
            <w:vAlign w:val="center"/>
          </w:tcPr>
          <w:p w14:paraId="3E977BE1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1070" w:type="dxa"/>
            <w:vAlign w:val="center"/>
          </w:tcPr>
          <w:p w14:paraId="54784659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085" w:type="dxa"/>
            <w:vAlign w:val="center"/>
          </w:tcPr>
          <w:p w14:paraId="252F957B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1269" w:type="dxa"/>
            <w:vAlign w:val="center"/>
          </w:tcPr>
          <w:p w14:paraId="2D865EA9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1,670(42%)</w:t>
            </w:r>
          </w:p>
        </w:tc>
      </w:tr>
      <w:tr w:rsidR="009920C2" w:rsidRPr="00176621" w14:paraId="15940904" w14:textId="77777777" w:rsidTr="003E72B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1" w:type="dxa"/>
            <w:vAlign w:val="center"/>
          </w:tcPr>
          <w:p w14:paraId="335D5AF1" w14:textId="77777777" w:rsidR="009920C2" w:rsidRPr="00176621" w:rsidRDefault="009920C2" w:rsidP="003E72B0">
            <w:pPr>
              <w:spacing w:line="360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7662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Completed LTBI treatment</w:t>
            </w:r>
          </w:p>
        </w:tc>
        <w:tc>
          <w:tcPr>
            <w:tcW w:w="1420" w:type="dxa"/>
            <w:vAlign w:val="center"/>
          </w:tcPr>
          <w:p w14:paraId="1F768DD2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1,070</w:t>
            </w:r>
          </w:p>
        </w:tc>
        <w:tc>
          <w:tcPr>
            <w:tcW w:w="1067" w:type="dxa"/>
            <w:vAlign w:val="center"/>
          </w:tcPr>
          <w:p w14:paraId="222B6298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1070" w:type="dxa"/>
            <w:vAlign w:val="center"/>
          </w:tcPr>
          <w:p w14:paraId="7572289F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085" w:type="dxa"/>
            <w:vAlign w:val="center"/>
          </w:tcPr>
          <w:p w14:paraId="378D5FF0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1269" w:type="dxa"/>
            <w:vAlign w:val="center"/>
          </w:tcPr>
          <w:p w14:paraId="45A63D8C" w14:textId="77777777" w:rsidR="009920C2" w:rsidRPr="00176621" w:rsidRDefault="009920C2" w:rsidP="003E72B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1,192(71%)</w:t>
            </w:r>
          </w:p>
        </w:tc>
      </w:tr>
    </w:tbl>
    <w:p w14:paraId="6B2A9A2B" w14:textId="77777777" w:rsidR="009920C2" w:rsidRDefault="009920C2" w:rsidP="009920C2">
      <w:pPr>
        <w:spacing w:after="0"/>
        <w:ind w:left="-360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493943">
        <w:rPr>
          <w:rFonts w:ascii="Arial" w:hAnsi="Arial" w:cs="Arial"/>
          <w:sz w:val="18"/>
          <w:szCs w:val="18"/>
        </w:rPr>
        <w:t>Some individuals were referred to the health department with a known positive test and excluded in primary analysis which included assessment of percent positivity among individuals being evaluated for LTBI.</w:t>
      </w:r>
      <w:r>
        <w:rPr>
          <w:rFonts w:ascii="Arial" w:hAnsi="Arial" w:cs="Arial"/>
          <w:sz w:val="18"/>
          <w:szCs w:val="18"/>
        </w:rPr>
        <w:t xml:space="preserve"> In this secondary analysis, we</w:t>
      </w:r>
      <w:r w:rsidRPr="00493943">
        <w:rPr>
          <w:rFonts w:ascii="Arial" w:hAnsi="Arial" w:cs="Arial"/>
          <w:sz w:val="18"/>
          <w:szCs w:val="18"/>
        </w:rPr>
        <w:t xml:space="preserve"> present the cascade beginning with individuals with positive tests</w:t>
      </w:r>
      <w:r>
        <w:rPr>
          <w:rFonts w:ascii="Arial" w:hAnsi="Arial" w:cs="Arial"/>
          <w:sz w:val="18"/>
          <w:szCs w:val="18"/>
        </w:rPr>
        <w:t xml:space="preserve"> inclusive of individuals referred with prior positive test results</w:t>
      </w:r>
    </w:p>
    <w:p w14:paraId="5C695AE8" w14:textId="77777777" w:rsidR="009920C2" w:rsidRPr="006533FE" w:rsidRDefault="009920C2" w:rsidP="009920C2">
      <w:pPr>
        <w:ind w:left="-450"/>
        <w:contextualSpacing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Percentages are relative to the prior row.</w:t>
      </w:r>
    </w:p>
    <w:p w14:paraId="50D156B7" w14:textId="77777777" w:rsidR="009920C2" w:rsidRDefault="009920C2" w:rsidP="009920C2">
      <w:pPr>
        <w:spacing w:after="0"/>
        <w:ind w:left="-450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493943">
        <w:rPr>
          <w:rFonts w:ascii="Arial" w:hAnsi="Arial" w:cs="Arial"/>
          <w:sz w:val="18"/>
          <w:szCs w:val="18"/>
        </w:rPr>
        <w:t>There were 18</w:t>
      </w:r>
      <w:r>
        <w:rPr>
          <w:rFonts w:ascii="Arial" w:hAnsi="Arial" w:cs="Arial"/>
          <w:sz w:val="18"/>
          <w:szCs w:val="18"/>
        </w:rPr>
        <w:t>7</w:t>
      </w:r>
      <w:r w:rsidRPr="00493943">
        <w:rPr>
          <w:rFonts w:ascii="Arial" w:hAnsi="Arial" w:cs="Arial"/>
          <w:sz w:val="18"/>
          <w:szCs w:val="18"/>
        </w:rPr>
        <w:t xml:space="preserve"> individuals without birth country recorded</w:t>
      </w:r>
      <w:r>
        <w:rPr>
          <w:rFonts w:ascii="Arial" w:hAnsi="Arial" w:cs="Arial"/>
          <w:sz w:val="18"/>
          <w:szCs w:val="18"/>
        </w:rPr>
        <w:t xml:space="preserve"> who are included in the total</w:t>
      </w:r>
    </w:p>
    <w:p w14:paraId="09F87B8E" w14:textId="77777777" w:rsidR="009920C2" w:rsidRDefault="009920C2" w:rsidP="009920C2">
      <w:pPr>
        <w:ind w:left="-720" w:firstLine="187"/>
        <w:outlineLvl w:val="1"/>
        <w:rPr>
          <w:rFonts w:ascii="Arial" w:hAnsi="Arial" w:cs="Arial"/>
          <w:b/>
        </w:rPr>
      </w:pPr>
    </w:p>
    <w:p w14:paraId="1CA8BE98" w14:textId="77777777" w:rsidR="009920C2" w:rsidRDefault="009920C2" w:rsidP="009920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A4960D" w14:textId="77777777" w:rsidR="009920C2" w:rsidRPr="003407F0" w:rsidRDefault="009920C2" w:rsidP="009920C2">
      <w:pPr>
        <w:ind w:left="-720" w:firstLine="187"/>
        <w:outlineLvl w:val="1"/>
        <w:rPr>
          <w:rFonts w:ascii="Arial" w:hAnsi="Arial" w:cs="Arial"/>
        </w:rPr>
      </w:pPr>
      <w:r w:rsidRPr="0041788A">
        <w:rPr>
          <w:rFonts w:ascii="Arial" w:hAnsi="Arial" w:cs="Arial"/>
          <w:b/>
        </w:rPr>
        <w:lastRenderedPageBreak/>
        <w:t xml:space="preserve">Supplemental Figure 2: </w:t>
      </w:r>
      <w:r w:rsidRPr="009317BA">
        <w:rPr>
          <w:rFonts w:ascii="Arial" w:hAnsi="Arial" w:cs="Arial"/>
        </w:rPr>
        <w:t>LTBI care cascade by site</w:t>
      </w:r>
    </w:p>
    <w:p w14:paraId="151D397B" w14:textId="77777777" w:rsidR="009920C2" w:rsidRDefault="009920C2" w:rsidP="009920C2">
      <w:pPr>
        <w:spacing w:after="0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</w:pPr>
    </w:p>
    <w:p w14:paraId="1D32E579" w14:textId="77777777" w:rsidR="009920C2" w:rsidRDefault="009920C2" w:rsidP="009920C2">
      <w:pPr>
        <w:spacing w:after="0"/>
        <w:ind w:hanging="540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shd w:val="clear" w:color="auto" w:fill="FFFFFF"/>
        </w:rPr>
        <w:drawing>
          <wp:inline distT="0" distB="0" distL="0" distR="0" wp14:anchorId="6235B253" wp14:editId="4106FD6F">
            <wp:extent cx="6992620" cy="6389370"/>
            <wp:effectExtent l="0" t="0" r="0" b="0"/>
            <wp:docPr id="10" name="Picture 10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638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A18DD" w14:textId="77777777" w:rsidR="009920C2" w:rsidRDefault="009920C2" w:rsidP="009920C2">
      <w:pPr>
        <w:spacing w:after="0"/>
        <w:ind w:hanging="540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LTBI, latent tuberculosis infection</w:t>
      </w:r>
    </w:p>
    <w:p w14:paraId="66B8C22E" w14:textId="77777777" w:rsidR="009920C2" w:rsidRDefault="009920C2" w:rsidP="009920C2">
      <w:pPr>
        <w:spacing w:after="0"/>
        <w:ind w:left="-360" w:hanging="180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 xml:space="preserve">Percentage </w:t>
      </w:r>
      <w:r w:rsidRPr="009317BA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of patients who test positive are relative to the total number of patients at each site (REF Dx)</w:t>
      </w:r>
    </w:p>
    <w:p w14:paraId="58FE4E21" w14:textId="77777777" w:rsidR="009920C2" w:rsidRDefault="009920C2" w:rsidP="009920C2">
      <w:pPr>
        <w:spacing w:after="0"/>
        <w:ind w:left="-360" w:hanging="180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Percentage of patients who start/</w:t>
      </w:r>
      <w:r w:rsidRPr="009317BA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complete treatment are relative to the number</w:t>
      </w:r>
      <w: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 xml:space="preserve"> of patients</w:t>
      </w:r>
      <w:r w:rsidRPr="009317BA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 xml:space="preserve"> diagnosed with </w:t>
      </w:r>
      <w: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LTBI</w:t>
      </w:r>
      <w:r w:rsidRPr="009317BA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 xml:space="preserve"> (REF Tx)</w:t>
      </w:r>
    </w:p>
    <w:p w14:paraId="2F0825A6" w14:textId="77777777" w:rsidR="009920C2" w:rsidRDefault="009920C2" w:rsidP="009920C2">
      <w:pPr>
        <w:spacing w:after="0"/>
        <w:ind w:left="-360" w:hanging="180"/>
        <w:rPr>
          <w:rFonts w:ascii="Arial" w:hAnsi="Arial" w:cs="Arial"/>
          <w:sz w:val="18"/>
          <w:szCs w:val="18"/>
        </w:rPr>
      </w:pPr>
    </w:p>
    <w:p w14:paraId="66992D17" w14:textId="77777777" w:rsidR="009920C2" w:rsidRDefault="009920C2" w:rsidP="009920C2">
      <w:pPr>
        <w:spacing w:after="0"/>
        <w:ind w:left="-360" w:hanging="180"/>
        <w:rPr>
          <w:rFonts w:ascii="Arial" w:hAnsi="Arial" w:cs="Arial"/>
          <w:sz w:val="18"/>
          <w:szCs w:val="18"/>
        </w:rPr>
      </w:pPr>
    </w:p>
    <w:p w14:paraId="1D63B8C1" w14:textId="77777777" w:rsidR="009920C2" w:rsidRDefault="009920C2" w:rsidP="009920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5B37F16" w14:textId="77777777" w:rsidR="009920C2" w:rsidRDefault="009920C2" w:rsidP="009920C2">
      <w:pPr>
        <w:ind w:left="-547"/>
        <w:outlineLvl w:val="1"/>
        <w:rPr>
          <w:rFonts w:ascii="Arial" w:hAnsi="Arial" w:cs="Arial"/>
        </w:rPr>
      </w:pPr>
      <w:r w:rsidRPr="0041788A">
        <w:rPr>
          <w:rFonts w:ascii="Arial" w:hAnsi="Arial" w:cs="Arial"/>
          <w:b/>
        </w:rPr>
        <w:lastRenderedPageBreak/>
        <w:t xml:space="preserve">Supplemental Figure </w:t>
      </w:r>
      <w:r>
        <w:rPr>
          <w:rFonts w:ascii="Arial" w:hAnsi="Arial" w:cs="Arial"/>
          <w:b/>
        </w:rPr>
        <w:t>3</w:t>
      </w:r>
      <w:r w:rsidRPr="0041788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Clinic-specific random effects for starting treatment, among those diagnosed with LTBI.</w:t>
      </w:r>
    </w:p>
    <w:p w14:paraId="221F2099" w14:textId="77777777" w:rsidR="009920C2" w:rsidRDefault="009920C2" w:rsidP="009920C2">
      <w:pPr>
        <w:ind w:left="-720" w:firstLine="180"/>
        <w:rPr>
          <w:rFonts w:ascii="Arial" w:hAnsi="Arial" w:cs="Arial"/>
        </w:rPr>
      </w:pPr>
    </w:p>
    <w:p w14:paraId="1F324A80" w14:textId="77777777" w:rsidR="009920C2" w:rsidRPr="003407F0" w:rsidRDefault="009920C2" w:rsidP="009920C2">
      <w:pPr>
        <w:ind w:left="-720"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317B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color w:val="2B579A"/>
          <w:shd w:val="clear" w:color="auto" w:fill="E6E6E6"/>
        </w:rPr>
        <w:drawing>
          <wp:inline distT="0" distB="0" distL="0" distR="0" wp14:anchorId="443558A6" wp14:editId="4D96C387">
            <wp:extent cx="4581525" cy="3019507"/>
            <wp:effectExtent l="0" t="0" r="0" b="0"/>
            <wp:docPr id="7" name="Picture 7" descr="A picture containing text, light, antenna,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light, antenna, d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118" cy="30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0DDD3" w14:textId="77777777" w:rsidR="009920C2" w:rsidRDefault="009920C2" w:rsidP="009920C2">
      <w:pPr>
        <w:rPr>
          <w:rFonts w:ascii="Arial" w:hAnsi="Arial" w:cs="Arial"/>
        </w:rPr>
      </w:pPr>
      <w:r>
        <w:rPr>
          <w:rFonts w:ascii="Arial" w:hAnsi="Arial" w:cs="Arial"/>
        </w:rPr>
        <w:t>Figure legend: We conducted a generalized linear mixed effect regression with sites as a random effect. There was variation in initiating therapy between sites. Each point represents the individual clinic’s deviation from the average log odds for initiating therapy.</w:t>
      </w:r>
    </w:p>
    <w:p w14:paraId="0A2AD2E1" w14:textId="77777777" w:rsidR="009920C2" w:rsidRDefault="009920C2" w:rsidP="009920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E8B272" w14:textId="77777777" w:rsidR="009920C2" w:rsidRDefault="009920C2" w:rsidP="009920C2">
      <w:pPr>
        <w:ind w:left="-547"/>
        <w:outlineLvl w:val="1"/>
        <w:rPr>
          <w:rFonts w:ascii="Arial" w:hAnsi="Arial" w:cs="Arial"/>
        </w:rPr>
      </w:pPr>
      <w:r w:rsidRPr="0041788A">
        <w:rPr>
          <w:rFonts w:ascii="Arial" w:hAnsi="Arial" w:cs="Arial"/>
          <w:b/>
        </w:rPr>
        <w:lastRenderedPageBreak/>
        <w:t xml:space="preserve">Supplemental Figure </w:t>
      </w:r>
      <w:r>
        <w:rPr>
          <w:rFonts w:ascii="Arial" w:hAnsi="Arial" w:cs="Arial"/>
          <w:b/>
        </w:rPr>
        <w:t>4</w:t>
      </w:r>
      <w:r w:rsidRPr="0041788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Clinic-specific random effects for completing treatment, among those who started LTBI treatment.</w:t>
      </w:r>
    </w:p>
    <w:p w14:paraId="25127570" w14:textId="77777777" w:rsidR="009920C2" w:rsidRDefault="009920C2" w:rsidP="009920C2">
      <w:pPr>
        <w:ind w:left="-720" w:firstLine="180"/>
        <w:rPr>
          <w:rFonts w:ascii="Arial" w:hAnsi="Arial" w:cs="Arial"/>
        </w:rPr>
      </w:pPr>
    </w:p>
    <w:p w14:paraId="5030221A" w14:textId="77777777" w:rsidR="009920C2" w:rsidRPr="003407F0" w:rsidRDefault="009920C2" w:rsidP="009920C2">
      <w:pPr>
        <w:ind w:left="-720"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317B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color w:val="2B579A"/>
          <w:shd w:val="clear" w:color="auto" w:fill="E6E6E6"/>
        </w:rPr>
        <w:drawing>
          <wp:inline distT="0" distB="0" distL="0" distR="0" wp14:anchorId="2BD7E91C" wp14:editId="1516B390">
            <wp:extent cx="5153025" cy="3483603"/>
            <wp:effectExtent l="0" t="0" r="0" b="0"/>
            <wp:docPr id="9" name="Picture 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809" cy="3490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99262C" w14:textId="77777777" w:rsidR="009920C2" w:rsidRDefault="009920C2" w:rsidP="009920C2">
      <w:pPr>
        <w:rPr>
          <w:rFonts w:ascii="Arial" w:hAnsi="Arial" w:cs="Arial"/>
        </w:rPr>
      </w:pPr>
      <w:r>
        <w:rPr>
          <w:rFonts w:ascii="Arial" w:hAnsi="Arial" w:cs="Arial"/>
        </w:rPr>
        <w:t>Figure legend: We conducted a generalized linear mixed effect regression with sites as a random effect. Each point represents the individual clinic’s deviation from the average log odds for completing therapy.</w:t>
      </w:r>
    </w:p>
    <w:p w14:paraId="4B5A40F2" w14:textId="77777777" w:rsidR="009920C2" w:rsidRPr="00E91C4E" w:rsidRDefault="009920C2" w:rsidP="009920C2">
      <w:pPr>
        <w:rPr>
          <w:rFonts w:ascii="Arial" w:hAnsi="Arial" w:cs="Arial"/>
        </w:rPr>
      </w:pPr>
    </w:p>
    <w:p w14:paraId="607A7162" w14:textId="77777777" w:rsidR="006B3D4C" w:rsidRDefault="006B3D4C"/>
    <w:sectPr w:rsidR="006B3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AB6B" w14:textId="77777777" w:rsidR="002A5160" w:rsidRDefault="00992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365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0A155" w14:textId="77777777" w:rsidR="002A5160" w:rsidRDefault="009920C2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25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A9A2362" w14:textId="77777777" w:rsidR="002A5160" w:rsidRDefault="00992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4409" w14:textId="77777777" w:rsidR="002A5160" w:rsidRDefault="009920C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4D5E" w14:textId="77777777" w:rsidR="002A5160" w:rsidRDefault="00992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AF8D" w14:textId="77777777" w:rsidR="002A5160" w:rsidRDefault="00992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537E" w14:textId="77777777" w:rsidR="002A5160" w:rsidRDefault="00992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C2"/>
    <w:rsid w:val="0032565F"/>
    <w:rsid w:val="00425604"/>
    <w:rsid w:val="006B3D4C"/>
    <w:rsid w:val="009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E7BF2"/>
  <w15:chartTrackingRefBased/>
  <w15:docId w15:val="{E3939EB2-51EC-1143-8C19-77A92362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C2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20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20C2"/>
    <w:rPr>
      <w:sz w:val="22"/>
      <w:szCs w:val="22"/>
    </w:rPr>
  </w:style>
  <w:style w:type="table" w:styleId="PlainTable1">
    <w:name w:val="Plain Table 1"/>
    <w:basedOn w:val="TableNormal"/>
    <w:uiPriority w:val="41"/>
    <w:rsid w:val="009920C2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20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20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image" Target="media/image1.tif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Perry</dc:creator>
  <cp:keywords/>
  <dc:description/>
  <cp:lastModifiedBy>Allison Perry</cp:lastModifiedBy>
  <cp:revision>1</cp:revision>
  <dcterms:created xsi:type="dcterms:W3CDTF">2022-03-08T18:37:00Z</dcterms:created>
  <dcterms:modified xsi:type="dcterms:W3CDTF">2022-03-08T18:37:00Z</dcterms:modified>
</cp:coreProperties>
</file>