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E6BE" w14:textId="77777777" w:rsidR="006C7562" w:rsidRDefault="006C7562" w:rsidP="00850F36">
      <w:pPr>
        <w:rPr>
          <w:b/>
        </w:rPr>
      </w:pPr>
      <w:r>
        <w:rPr>
          <w:b/>
        </w:rPr>
        <w:t>Supplementary Table 1. Folic acid antagonist exposures by case and control group, Slone Birth Defects Study, 1998-2015</w:t>
      </w:r>
    </w:p>
    <w:tbl>
      <w:tblPr>
        <w:tblStyle w:val="TableGrid"/>
        <w:tblW w:w="11197" w:type="dxa"/>
        <w:tblLayout w:type="fixed"/>
        <w:tblLook w:val="04A0" w:firstRow="1" w:lastRow="0" w:firstColumn="1" w:lastColumn="0" w:noHBand="0" w:noVBand="1"/>
      </w:tblPr>
      <w:tblGrid>
        <w:gridCol w:w="1975"/>
        <w:gridCol w:w="1530"/>
        <w:gridCol w:w="1440"/>
        <w:gridCol w:w="236"/>
        <w:gridCol w:w="1484"/>
        <w:gridCol w:w="1484"/>
        <w:gridCol w:w="1496"/>
        <w:gridCol w:w="1552"/>
      </w:tblGrid>
      <w:tr w:rsidR="006C7562" w:rsidRPr="00F65284" w14:paraId="06E7907E" w14:textId="77777777" w:rsidTr="00BC714D">
        <w:tc>
          <w:tcPr>
            <w:tcW w:w="1975" w:type="dxa"/>
          </w:tcPr>
          <w:p w14:paraId="3324E835" w14:textId="77777777" w:rsidR="006C7562" w:rsidRPr="00F65284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2"/>
          </w:tcPr>
          <w:p w14:paraId="29ED035C" w14:textId="77777777" w:rsidR="006C7562" w:rsidRPr="00F65284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Periconceptional exposure</w:t>
            </w:r>
          </w:p>
        </w:tc>
        <w:tc>
          <w:tcPr>
            <w:tcW w:w="236" w:type="dxa"/>
          </w:tcPr>
          <w:p w14:paraId="04A6AC8E" w14:textId="77777777" w:rsidR="006C7562" w:rsidRPr="00664587" w:rsidRDefault="006C7562" w:rsidP="00BC71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6" w:type="dxa"/>
            <w:gridSpan w:val="4"/>
          </w:tcPr>
          <w:p w14:paraId="093665AF" w14:textId="77777777" w:rsidR="006C7562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trimester exposure</w:t>
            </w:r>
          </w:p>
        </w:tc>
      </w:tr>
      <w:tr w:rsidR="006C7562" w:rsidRPr="00F65284" w14:paraId="1E276A21" w14:textId="77777777" w:rsidTr="00BC714D">
        <w:tc>
          <w:tcPr>
            <w:tcW w:w="1975" w:type="dxa"/>
          </w:tcPr>
          <w:p w14:paraId="7C9EE1CD" w14:textId="77777777" w:rsidR="006C7562" w:rsidRPr="00F65284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284">
              <w:rPr>
                <w:rFonts w:ascii="Arial" w:hAnsi="Arial" w:cs="Arial"/>
                <w:b/>
                <w:sz w:val="18"/>
                <w:szCs w:val="18"/>
              </w:rPr>
              <w:t>Drug</w:t>
            </w:r>
          </w:p>
        </w:tc>
        <w:tc>
          <w:tcPr>
            <w:tcW w:w="1530" w:type="dxa"/>
          </w:tcPr>
          <w:p w14:paraId="76495FDE" w14:textId="77777777" w:rsidR="006C7562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284">
              <w:rPr>
                <w:rFonts w:ascii="Arial" w:hAnsi="Arial" w:cs="Arial"/>
                <w:b/>
                <w:sz w:val="18"/>
                <w:szCs w:val="18"/>
              </w:rPr>
              <w:t>Controls</w:t>
            </w:r>
            <w:r>
              <w:rPr>
                <w:rFonts w:cstheme="minorHAnsi"/>
                <w:sz w:val="19"/>
                <w:szCs w:val="19"/>
              </w:rPr>
              <w:t>†</w:t>
            </w:r>
          </w:p>
          <w:p w14:paraId="77EFC526" w14:textId="77777777" w:rsidR="006C7562" w:rsidRPr="00F65284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N=10194</w:t>
            </w:r>
          </w:p>
        </w:tc>
        <w:tc>
          <w:tcPr>
            <w:tcW w:w="1440" w:type="dxa"/>
          </w:tcPr>
          <w:p w14:paraId="446B4C99" w14:textId="77777777" w:rsidR="006C7562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284">
              <w:rPr>
                <w:rFonts w:ascii="Arial" w:hAnsi="Arial" w:cs="Arial"/>
                <w:b/>
                <w:sz w:val="18"/>
                <w:szCs w:val="18"/>
              </w:rPr>
              <w:t>NTD Cases</w:t>
            </w:r>
          </w:p>
          <w:p w14:paraId="636664EB" w14:textId="77777777" w:rsidR="006C7562" w:rsidRPr="00F65284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N=402</w:t>
            </w:r>
          </w:p>
        </w:tc>
        <w:tc>
          <w:tcPr>
            <w:tcW w:w="236" w:type="dxa"/>
          </w:tcPr>
          <w:p w14:paraId="6A3A7551" w14:textId="77777777" w:rsidR="006C7562" w:rsidRPr="00664587" w:rsidRDefault="006C7562" w:rsidP="00BC71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FB39E7B" w14:textId="77777777" w:rsidR="006C7562" w:rsidRDefault="006C7562" w:rsidP="00BC714D">
            <w:pPr>
              <w:rPr>
                <w:rFonts w:ascii="Arial" w:hAnsi="Arial" w:cs="Arial"/>
                <w:b/>
                <w:sz w:val="18"/>
              </w:rPr>
            </w:pPr>
            <w:r w:rsidRPr="001362FC">
              <w:rPr>
                <w:rFonts w:ascii="Arial" w:hAnsi="Arial" w:cs="Arial"/>
                <w:b/>
                <w:sz w:val="18"/>
              </w:rPr>
              <w:t>Controls</w:t>
            </w:r>
            <w:r>
              <w:rPr>
                <w:rFonts w:cstheme="minorHAnsi"/>
                <w:sz w:val="19"/>
                <w:szCs w:val="19"/>
              </w:rPr>
              <w:t>†</w:t>
            </w:r>
          </w:p>
          <w:p w14:paraId="08D3D0C5" w14:textId="77777777" w:rsidR="006C7562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N=10205</w:t>
            </w:r>
          </w:p>
        </w:tc>
        <w:tc>
          <w:tcPr>
            <w:tcW w:w="1484" w:type="dxa"/>
          </w:tcPr>
          <w:p w14:paraId="40FCC140" w14:textId="77777777" w:rsidR="006C7562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Oral clefts</w:t>
            </w:r>
            <w:r>
              <w:rPr>
                <w:rFonts w:cstheme="minorHAnsi"/>
                <w:b/>
                <w:sz w:val="18"/>
                <w:szCs w:val="18"/>
              </w:rPr>
              <w:t>‡</w:t>
            </w:r>
          </w:p>
          <w:p w14:paraId="3B8E8A1E" w14:textId="77777777" w:rsidR="006C7562" w:rsidRPr="00F65284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N=1284</w:t>
            </w:r>
          </w:p>
        </w:tc>
        <w:tc>
          <w:tcPr>
            <w:tcW w:w="1496" w:type="dxa"/>
          </w:tcPr>
          <w:p w14:paraId="665580E1" w14:textId="77777777" w:rsidR="006C7562" w:rsidRDefault="006C7562" w:rsidP="00BC714D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Urinary tract defects</w:t>
            </w:r>
            <w:r w:rsidRPr="00B26A70">
              <w:rPr>
                <w:rFonts w:cstheme="minorHAnsi"/>
                <w:sz w:val="19"/>
                <w:szCs w:val="19"/>
                <w:vertAlign w:val="superscript"/>
              </w:rPr>
              <w:t>§</w:t>
            </w:r>
          </w:p>
          <w:p w14:paraId="793E2BB9" w14:textId="77777777" w:rsidR="006C7562" w:rsidRPr="00F65284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N=2472</w:t>
            </w:r>
          </w:p>
        </w:tc>
        <w:tc>
          <w:tcPr>
            <w:tcW w:w="1552" w:type="dxa"/>
          </w:tcPr>
          <w:p w14:paraId="61205F4D" w14:textId="77777777" w:rsidR="006C7562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Cardiac defects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¶</w:t>
            </w:r>
          </w:p>
          <w:p w14:paraId="31F4F9FF" w14:textId="77777777" w:rsidR="006C7562" w:rsidRPr="00F65284" w:rsidRDefault="006C7562" w:rsidP="00BC71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N=6095</w:t>
            </w:r>
          </w:p>
        </w:tc>
      </w:tr>
      <w:tr w:rsidR="006C7562" w:rsidRPr="00F65284" w14:paraId="086CAAA2" w14:textId="77777777" w:rsidTr="00BC714D">
        <w:tc>
          <w:tcPr>
            <w:tcW w:w="1975" w:type="dxa"/>
          </w:tcPr>
          <w:p w14:paraId="691F3A32" w14:textId="77777777" w:rsidR="006C7562" w:rsidRPr="00F65284" w:rsidRDefault="006C7562" w:rsidP="00BC714D">
            <w:pPr>
              <w:rPr>
                <w:rFonts w:ascii="Arial" w:hAnsi="Arial" w:cs="Arial"/>
                <w:sz w:val="18"/>
                <w:szCs w:val="18"/>
              </w:rPr>
            </w:pPr>
            <w:r w:rsidRPr="00F65284">
              <w:rPr>
                <w:rFonts w:ascii="Arial" w:hAnsi="Arial" w:cs="Arial"/>
                <w:sz w:val="18"/>
                <w:szCs w:val="18"/>
              </w:rPr>
              <w:t>Unexposed during pregnancy</w:t>
            </w:r>
          </w:p>
        </w:tc>
        <w:tc>
          <w:tcPr>
            <w:tcW w:w="1530" w:type="dxa"/>
          </w:tcPr>
          <w:p w14:paraId="6E087191" w14:textId="77777777" w:rsidR="006C7562" w:rsidRPr="00F65284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10126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 xml:space="preserve"> (99.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40" w:type="dxa"/>
          </w:tcPr>
          <w:p w14:paraId="54F9CCF9" w14:textId="77777777" w:rsidR="006C7562" w:rsidRPr="00F65284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395 (98.3%)</w:t>
            </w:r>
          </w:p>
        </w:tc>
        <w:tc>
          <w:tcPr>
            <w:tcW w:w="236" w:type="dxa"/>
          </w:tcPr>
          <w:p w14:paraId="0E394BB2" w14:textId="77777777" w:rsidR="006C7562" w:rsidRPr="00664587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71999F8" w14:textId="77777777" w:rsidR="006C7562" w:rsidRPr="00FD1526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526">
              <w:rPr>
                <w:rFonts w:ascii="Arial" w:hAnsi="Arial" w:cs="Arial"/>
                <w:color w:val="000000"/>
                <w:sz w:val="18"/>
                <w:szCs w:val="18"/>
              </w:rPr>
              <w:t>10126 (99.2%)</w:t>
            </w:r>
          </w:p>
        </w:tc>
        <w:tc>
          <w:tcPr>
            <w:tcW w:w="1484" w:type="dxa"/>
          </w:tcPr>
          <w:p w14:paraId="3C34A2AD" w14:textId="77777777" w:rsidR="006C7562" w:rsidRPr="00FD1526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526">
              <w:rPr>
                <w:rFonts w:ascii="Arial" w:hAnsi="Arial" w:cs="Arial"/>
                <w:color w:val="000000"/>
                <w:sz w:val="18"/>
                <w:szCs w:val="18"/>
              </w:rPr>
              <w:t>1266 (98.6%)</w:t>
            </w:r>
          </w:p>
        </w:tc>
        <w:tc>
          <w:tcPr>
            <w:tcW w:w="1496" w:type="dxa"/>
          </w:tcPr>
          <w:p w14:paraId="4A5189AF" w14:textId="77777777" w:rsidR="006C7562" w:rsidRPr="00FD1526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526">
              <w:rPr>
                <w:rFonts w:ascii="Arial" w:hAnsi="Arial" w:cs="Arial"/>
                <w:color w:val="000000"/>
                <w:sz w:val="18"/>
                <w:szCs w:val="18"/>
              </w:rPr>
              <w:t>2441 (98.7%)</w:t>
            </w:r>
          </w:p>
        </w:tc>
        <w:tc>
          <w:tcPr>
            <w:tcW w:w="1552" w:type="dxa"/>
          </w:tcPr>
          <w:p w14:paraId="351BD950" w14:textId="77777777" w:rsidR="006C7562" w:rsidRPr="00FD1526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1526">
              <w:rPr>
                <w:rFonts w:ascii="Arial" w:hAnsi="Arial" w:cs="Arial"/>
                <w:color w:val="000000"/>
                <w:sz w:val="18"/>
                <w:szCs w:val="18"/>
              </w:rPr>
              <w:t>6036 (99.0%)</w:t>
            </w:r>
          </w:p>
        </w:tc>
      </w:tr>
      <w:tr w:rsidR="006C7562" w:rsidRPr="00F65284" w14:paraId="2ED3E3E4" w14:textId="77777777" w:rsidTr="00BC714D">
        <w:tc>
          <w:tcPr>
            <w:tcW w:w="1975" w:type="dxa"/>
          </w:tcPr>
          <w:p w14:paraId="4BDAB0CA" w14:textId="77777777" w:rsidR="006C7562" w:rsidRPr="00F65284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i/>
                <w:color w:val="000000"/>
                <w:sz w:val="18"/>
                <w:szCs w:val="18"/>
              </w:rPr>
              <w:t>DHFR Inhibitor</w:t>
            </w:r>
          </w:p>
        </w:tc>
        <w:tc>
          <w:tcPr>
            <w:tcW w:w="1530" w:type="dxa"/>
          </w:tcPr>
          <w:p w14:paraId="1FBD081B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(0.2%)</w:t>
            </w:r>
          </w:p>
        </w:tc>
        <w:tc>
          <w:tcPr>
            <w:tcW w:w="1440" w:type="dxa"/>
          </w:tcPr>
          <w:p w14:paraId="31ECBBAA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0 (0.0%)</w:t>
            </w:r>
          </w:p>
        </w:tc>
        <w:tc>
          <w:tcPr>
            <w:tcW w:w="236" w:type="dxa"/>
          </w:tcPr>
          <w:p w14:paraId="61E84A03" w14:textId="77777777" w:rsidR="006C7562" w:rsidRPr="00664587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276C4C74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2FC">
              <w:rPr>
                <w:rFonts w:ascii="Arial" w:hAnsi="Arial" w:cs="Arial"/>
                <w:color w:val="000000"/>
                <w:sz w:val="18"/>
              </w:rPr>
              <w:t>26 (0.3%)</w:t>
            </w:r>
          </w:p>
        </w:tc>
        <w:tc>
          <w:tcPr>
            <w:tcW w:w="1484" w:type="dxa"/>
          </w:tcPr>
          <w:p w14:paraId="00BDBF2F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(0.2%)</w:t>
            </w:r>
          </w:p>
        </w:tc>
        <w:tc>
          <w:tcPr>
            <w:tcW w:w="1496" w:type="dxa"/>
          </w:tcPr>
          <w:p w14:paraId="0A5C14AA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(0.4%)</w:t>
            </w:r>
          </w:p>
        </w:tc>
        <w:tc>
          <w:tcPr>
            <w:tcW w:w="1552" w:type="dxa"/>
          </w:tcPr>
          <w:p w14:paraId="09918625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(0.2%)</w:t>
            </w:r>
          </w:p>
        </w:tc>
      </w:tr>
      <w:tr w:rsidR="006C7562" w:rsidRPr="00F65284" w14:paraId="4E80109F" w14:textId="77777777" w:rsidTr="00BC714D">
        <w:tc>
          <w:tcPr>
            <w:tcW w:w="1975" w:type="dxa"/>
          </w:tcPr>
          <w:p w14:paraId="11DA64A1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Trimethoprim</w:t>
            </w:r>
          </w:p>
        </w:tc>
        <w:tc>
          <w:tcPr>
            <w:tcW w:w="1530" w:type="dxa"/>
          </w:tcPr>
          <w:p w14:paraId="02533891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(0.1%)</w:t>
            </w:r>
          </w:p>
        </w:tc>
        <w:tc>
          <w:tcPr>
            <w:tcW w:w="1440" w:type="dxa"/>
          </w:tcPr>
          <w:p w14:paraId="4DADB3C2" w14:textId="77777777" w:rsidR="006C7562" w:rsidRPr="00F65284" w:rsidRDefault="006C7562" w:rsidP="00BC714D">
            <w:pPr>
              <w:adjustRightInd w:val="0"/>
              <w:spacing w:before="29" w:after="29"/>
              <w:ind w:firstLine="4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1BD5E798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7822774D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21 (0.2%)</w:t>
            </w:r>
          </w:p>
        </w:tc>
        <w:tc>
          <w:tcPr>
            <w:tcW w:w="1484" w:type="dxa"/>
          </w:tcPr>
          <w:p w14:paraId="5D47B0F1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(0.2%)</w:t>
            </w:r>
          </w:p>
        </w:tc>
        <w:tc>
          <w:tcPr>
            <w:tcW w:w="1496" w:type="dxa"/>
          </w:tcPr>
          <w:p w14:paraId="225C0404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(0.2%)</w:t>
            </w:r>
          </w:p>
        </w:tc>
        <w:tc>
          <w:tcPr>
            <w:tcW w:w="1552" w:type="dxa"/>
          </w:tcPr>
          <w:p w14:paraId="3F12C799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(0.1%)</w:t>
            </w:r>
          </w:p>
        </w:tc>
      </w:tr>
      <w:tr w:rsidR="006C7562" w:rsidRPr="00F65284" w14:paraId="58A04800" w14:textId="77777777" w:rsidTr="00BC714D">
        <w:tc>
          <w:tcPr>
            <w:tcW w:w="1975" w:type="dxa"/>
          </w:tcPr>
          <w:p w14:paraId="220A8E03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Triamterene</w:t>
            </w:r>
          </w:p>
        </w:tc>
        <w:tc>
          <w:tcPr>
            <w:tcW w:w="1530" w:type="dxa"/>
          </w:tcPr>
          <w:p w14:paraId="09F6D24C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 (&lt;0.1%)</w:t>
            </w:r>
          </w:p>
        </w:tc>
        <w:tc>
          <w:tcPr>
            <w:tcW w:w="1440" w:type="dxa"/>
          </w:tcPr>
          <w:p w14:paraId="5CEE72D7" w14:textId="77777777" w:rsidR="006C7562" w:rsidRPr="00F65284" w:rsidRDefault="006C7562" w:rsidP="00BC714D">
            <w:pPr>
              <w:adjustRightInd w:val="0"/>
              <w:spacing w:before="29" w:after="29"/>
              <w:ind w:firstLine="4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42B89C04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3F460D3C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 (&lt;0.1%)</w:t>
            </w:r>
          </w:p>
        </w:tc>
        <w:tc>
          <w:tcPr>
            <w:tcW w:w="1484" w:type="dxa"/>
          </w:tcPr>
          <w:p w14:paraId="7D769115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1496" w:type="dxa"/>
          </w:tcPr>
          <w:p w14:paraId="48A8CE1C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(0.1%)</w:t>
            </w:r>
          </w:p>
        </w:tc>
        <w:tc>
          <w:tcPr>
            <w:tcW w:w="1552" w:type="dxa"/>
          </w:tcPr>
          <w:p w14:paraId="0EF7EF34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6C7562" w:rsidRPr="00F65284" w14:paraId="4C99B4F2" w14:textId="77777777" w:rsidTr="00BC714D">
        <w:tc>
          <w:tcPr>
            <w:tcW w:w="1975" w:type="dxa"/>
          </w:tcPr>
          <w:p w14:paraId="17F704FD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Sulfasalazine</w:t>
            </w:r>
          </w:p>
        </w:tc>
        <w:tc>
          <w:tcPr>
            <w:tcW w:w="1530" w:type="dxa"/>
          </w:tcPr>
          <w:p w14:paraId="7A872158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 (&lt;0.1%)</w:t>
            </w:r>
          </w:p>
        </w:tc>
        <w:tc>
          <w:tcPr>
            <w:tcW w:w="1440" w:type="dxa"/>
          </w:tcPr>
          <w:p w14:paraId="2D171917" w14:textId="77777777" w:rsidR="006C7562" w:rsidRPr="00F65284" w:rsidRDefault="006C7562" w:rsidP="00BC714D">
            <w:pPr>
              <w:adjustRightInd w:val="0"/>
              <w:spacing w:before="29" w:after="29"/>
              <w:ind w:firstLine="49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6A2A6563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77808597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 (&lt;0.1%)</w:t>
            </w:r>
          </w:p>
        </w:tc>
        <w:tc>
          <w:tcPr>
            <w:tcW w:w="1484" w:type="dxa"/>
          </w:tcPr>
          <w:p w14:paraId="1891F103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96" w:type="dxa"/>
          </w:tcPr>
          <w:p w14:paraId="31D7BD02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  <w:tc>
          <w:tcPr>
            <w:tcW w:w="1552" w:type="dxa"/>
          </w:tcPr>
          <w:p w14:paraId="3C7AC30E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6C7562" w:rsidRPr="00F65284" w14:paraId="7EE86A2C" w14:textId="77777777" w:rsidTr="00BC714D">
        <w:tc>
          <w:tcPr>
            <w:tcW w:w="1975" w:type="dxa"/>
          </w:tcPr>
          <w:p w14:paraId="3FBF7EFB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</w:tc>
        <w:tc>
          <w:tcPr>
            <w:tcW w:w="1530" w:type="dxa"/>
          </w:tcPr>
          <w:p w14:paraId="30773F92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40" w:type="dxa"/>
          </w:tcPr>
          <w:p w14:paraId="69CE9C74" w14:textId="77777777" w:rsidR="006C7562" w:rsidRPr="00F65284" w:rsidRDefault="006C7562" w:rsidP="00BC714D">
            <w:pPr>
              <w:adjustRightInd w:val="0"/>
              <w:spacing w:before="29" w:after="29"/>
              <w:ind w:firstLine="49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3654F4DE" w14:textId="77777777" w:rsidR="006C7562" w:rsidRPr="00664587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7442C39C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84" w:type="dxa"/>
          </w:tcPr>
          <w:p w14:paraId="40572524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96" w:type="dxa"/>
          </w:tcPr>
          <w:p w14:paraId="6A38BE73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  <w:tc>
          <w:tcPr>
            <w:tcW w:w="1552" w:type="dxa"/>
          </w:tcPr>
          <w:p w14:paraId="1DEF42F5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</w:tr>
      <w:tr w:rsidR="006C7562" w:rsidRPr="00F65284" w14:paraId="73CA5214" w14:textId="77777777" w:rsidTr="00BC714D">
        <w:tc>
          <w:tcPr>
            <w:tcW w:w="1975" w:type="dxa"/>
          </w:tcPr>
          <w:p w14:paraId="353E0A87" w14:textId="77777777" w:rsidR="006C7562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Proguanil</w:t>
            </w:r>
          </w:p>
        </w:tc>
        <w:tc>
          <w:tcPr>
            <w:tcW w:w="1530" w:type="dxa"/>
          </w:tcPr>
          <w:p w14:paraId="2826B04A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  <w:tc>
          <w:tcPr>
            <w:tcW w:w="1440" w:type="dxa"/>
          </w:tcPr>
          <w:p w14:paraId="6F45D927" w14:textId="77777777" w:rsidR="006C7562" w:rsidRDefault="006C7562" w:rsidP="00BC714D">
            <w:pPr>
              <w:adjustRightInd w:val="0"/>
              <w:spacing w:before="29" w:after="29"/>
              <w:ind w:firstLine="49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65A897F0" w14:textId="77777777" w:rsidR="006C7562" w:rsidRPr="00664587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0FD9CC40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84" w:type="dxa"/>
          </w:tcPr>
          <w:p w14:paraId="317D629B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96" w:type="dxa"/>
          </w:tcPr>
          <w:p w14:paraId="323CA65B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2" w:type="dxa"/>
          </w:tcPr>
          <w:p w14:paraId="5BC6C6ED" w14:textId="77777777" w:rsidR="006C7562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6C7562" w:rsidRPr="00F65284" w14:paraId="78B92796" w14:textId="77777777" w:rsidTr="00BC714D">
        <w:tc>
          <w:tcPr>
            <w:tcW w:w="1975" w:type="dxa"/>
          </w:tcPr>
          <w:p w14:paraId="33BBBD41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4584759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B5E7EB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28ED9E5" w14:textId="77777777" w:rsidR="006C7562" w:rsidRPr="00664587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D49F085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789CFF58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39FCDBCA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488A1EF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562" w:rsidRPr="00F65284" w14:paraId="002A434A" w14:textId="77777777" w:rsidTr="00BC714D">
        <w:tc>
          <w:tcPr>
            <w:tcW w:w="1975" w:type="dxa"/>
          </w:tcPr>
          <w:p w14:paraId="7230968E" w14:textId="77777777" w:rsidR="006C7562" w:rsidRPr="00F65284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i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ny</w:t>
            </w:r>
            <w:r w:rsidRPr="00F6528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AED</w:t>
            </w:r>
          </w:p>
        </w:tc>
        <w:tc>
          <w:tcPr>
            <w:tcW w:w="1530" w:type="dxa"/>
          </w:tcPr>
          <w:p w14:paraId="4D0CC989" w14:textId="77777777" w:rsidR="006C7562" w:rsidRPr="00F65284" w:rsidRDefault="006C7562" w:rsidP="00BC714D">
            <w:pPr>
              <w:adjustRightInd w:val="0"/>
              <w:spacing w:before="29" w:after="29"/>
              <w:ind w:firstLine="16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 xml:space="preserve"> (0.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40" w:type="dxa"/>
          </w:tcPr>
          <w:p w14:paraId="7E9C61A9" w14:textId="77777777" w:rsidR="006C7562" w:rsidRPr="00F65284" w:rsidRDefault="006C7562" w:rsidP="00BC714D">
            <w:pPr>
              <w:adjustRightInd w:val="0"/>
              <w:spacing w:before="29" w:after="29"/>
              <w:ind w:hanging="10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7 (1.7%)</w:t>
            </w:r>
          </w:p>
        </w:tc>
        <w:tc>
          <w:tcPr>
            <w:tcW w:w="236" w:type="dxa"/>
          </w:tcPr>
          <w:p w14:paraId="505B88E1" w14:textId="77777777" w:rsidR="006C7562" w:rsidRPr="00664587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29EFC93" w14:textId="77777777" w:rsidR="006C7562" w:rsidRDefault="006C7562" w:rsidP="00BC714D">
            <w:pPr>
              <w:adjustRightInd w:val="0"/>
              <w:spacing w:before="29" w:after="29"/>
              <w:ind w:firstLine="1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2FC">
              <w:rPr>
                <w:rFonts w:ascii="Arial" w:hAnsi="Arial" w:cs="Arial"/>
                <w:color w:val="000000"/>
                <w:sz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Pr="001362FC">
              <w:rPr>
                <w:rFonts w:ascii="Arial" w:hAnsi="Arial" w:cs="Arial"/>
                <w:color w:val="000000"/>
                <w:sz w:val="18"/>
              </w:rPr>
              <w:t xml:space="preserve"> (0.5%)</w:t>
            </w:r>
          </w:p>
        </w:tc>
        <w:tc>
          <w:tcPr>
            <w:tcW w:w="1484" w:type="dxa"/>
          </w:tcPr>
          <w:p w14:paraId="084C6F45" w14:textId="77777777" w:rsidR="006C7562" w:rsidRPr="00F65284" w:rsidRDefault="006C7562" w:rsidP="00BC714D">
            <w:pPr>
              <w:adjustRightInd w:val="0"/>
              <w:spacing w:before="29" w:after="29"/>
              <w:ind w:hanging="11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(1.2%)</w:t>
            </w:r>
          </w:p>
        </w:tc>
        <w:tc>
          <w:tcPr>
            <w:tcW w:w="1496" w:type="dxa"/>
          </w:tcPr>
          <w:p w14:paraId="775551B3" w14:textId="77777777" w:rsidR="006C7562" w:rsidRPr="00F65284" w:rsidRDefault="006C7562" w:rsidP="00BC714D">
            <w:pPr>
              <w:adjustRightInd w:val="0"/>
              <w:spacing w:before="29" w:after="29"/>
              <w:ind w:hanging="11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(0.9%)</w:t>
            </w:r>
          </w:p>
        </w:tc>
        <w:tc>
          <w:tcPr>
            <w:tcW w:w="1552" w:type="dxa"/>
          </w:tcPr>
          <w:p w14:paraId="1F2C439B" w14:textId="77777777" w:rsidR="006C7562" w:rsidRPr="00F65284" w:rsidRDefault="006C7562" w:rsidP="00BC714D">
            <w:pPr>
              <w:adjustRightInd w:val="0"/>
              <w:spacing w:before="29" w:after="29"/>
              <w:ind w:hanging="11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(0.8%)</w:t>
            </w:r>
          </w:p>
        </w:tc>
      </w:tr>
      <w:tr w:rsidR="006C7562" w:rsidRPr="00F65284" w14:paraId="25752720" w14:textId="77777777" w:rsidTr="00BC714D">
        <w:tc>
          <w:tcPr>
            <w:tcW w:w="1975" w:type="dxa"/>
          </w:tcPr>
          <w:p w14:paraId="70642746" w14:textId="77777777" w:rsidR="006C7562" w:rsidRPr="00F65284" w:rsidRDefault="006C7562" w:rsidP="00BC714D">
            <w:pPr>
              <w:adjustRightInd w:val="0"/>
              <w:spacing w:before="29" w:after="29"/>
              <w:ind w:firstLine="22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Older 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 xml:space="preserve">AED </w:t>
            </w:r>
          </w:p>
        </w:tc>
        <w:tc>
          <w:tcPr>
            <w:tcW w:w="1530" w:type="dxa"/>
          </w:tcPr>
          <w:p w14:paraId="4D43ADE1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 xml:space="preserve"> (0.2%)</w:t>
            </w:r>
          </w:p>
        </w:tc>
        <w:tc>
          <w:tcPr>
            <w:tcW w:w="1440" w:type="dxa"/>
          </w:tcPr>
          <w:p w14:paraId="387265EF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3 (0.8%)</w:t>
            </w:r>
          </w:p>
        </w:tc>
        <w:tc>
          <w:tcPr>
            <w:tcW w:w="236" w:type="dxa"/>
          </w:tcPr>
          <w:p w14:paraId="17BD4975" w14:textId="77777777" w:rsidR="006C7562" w:rsidRPr="00664587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3B7D9DB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 xml:space="preserve"> (0.2%)</w:t>
            </w:r>
          </w:p>
        </w:tc>
        <w:tc>
          <w:tcPr>
            <w:tcW w:w="1484" w:type="dxa"/>
          </w:tcPr>
          <w:p w14:paraId="4F2D83EB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(0.4%)</w:t>
            </w:r>
          </w:p>
        </w:tc>
        <w:tc>
          <w:tcPr>
            <w:tcW w:w="1496" w:type="dxa"/>
          </w:tcPr>
          <w:p w14:paraId="202AB4A7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(0.3%)</w:t>
            </w:r>
          </w:p>
        </w:tc>
        <w:tc>
          <w:tcPr>
            <w:tcW w:w="1552" w:type="dxa"/>
          </w:tcPr>
          <w:p w14:paraId="21611BD3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(0.3%)</w:t>
            </w:r>
          </w:p>
        </w:tc>
      </w:tr>
      <w:tr w:rsidR="006C7562" w:rsidRPr="00F65284" w14:paraId="5D79B70F" w14:textId="77777777" w:rsidTr="00BC714D">
        <w:tc>
          <w:tcPr>
            <w:tcW w:w="1975" w:type="dxa"/>
          </w:tcPr>
          <w:p w14:paraId="1A6AB651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Valproic Acid</w:t>
            </w:r>
          </w:p>
        </w:tc>
        <w:tc>
          <w:tcPr>
            <w:tcW w:w="1530" w:type="dxa"/>
          </w:tcPr>
          <w:p w14:paraId="0AE1040A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(0.1%)</w:t>
            </w:r>
          </w:p>
        </w:tc>
        <w:tc>
          <w:tcPr>
            <w:tcW w:w="1440" w:type="dxa"/>
          </w:tcPr>
          <w:p w14:paraId="7564B977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(0.5%)</w:t>
            </w:r>
          </w:p>
        </w:tc>
        <w:tc>
          <w:tcPr>
            <w:tcW w:w="236" w:type="dxa"/>
          </w:tcPr>
          <w:p w14:paraId="342BEF29" w14:textId="77777777" w:rsidR="006C7562" w:rsidRPr="00664587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1482C526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 (0.1%)</w:t>
            </w:r>
          </w:p>
        </w:tc>
        <w:tc>
          <w:tcPr>
            <w:tcW w:w="1484" w:type="dxa"/>
          </w:tcPr>
          <w:p w14:paraId="77D200B1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(0.2%)</w:t>
            </w:r>
          </w:p>
        </w:tc>
        <w:tc>
          <w:tcPr>
            <w:tcW w:w="1496" w:type="dxa"/>
          </w:tcPr>
          <w:p w14:paraId="4E7187DA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(0.2%)</w:t>
            </w:r>
          </w:p>
        </w:tc>
        <w:tc>
          <w:tcPr>
            <w:tcW w:w="1552" w:type="dxa"/>
          </w:tcPr>
          <w:p w14:paraId="74759248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(0.1%)</w:t>
            </w:r>
          </w:p>
        </w:tc>
      </w:tr>
      <w:tr w:rsidR="006C7562" w:rsidRPr="00F65284" w14:paraId="7B9D0482" w14:textId="77777777" w:rsidTr="00BC714D">
        <w:tc>
          <w:tcPr>
            <w:tcW w:w="1975" w:type="dxa"/>
          </w:tcPr>
          <w:p w14:paraId="2170B1AA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Carbamazepine</w:t>
            </w:r>
          </w:p>
        </w:tc>
        <w:tc>
          <w:tcPr>
            <w:tcW w:w="1530" w:type="dxa"/>
          </w:tcPr>
          <w:p w14:paraId="7B5C79DB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(&lt;0.1%)</w:t>
            </w:r>
          </w:p>
        </w:tc>
        <w:tc>
          <w:tcPr>
            <w:tcW w:w="1440" w:type="dxa"/>
          </w:tcPr>
          <w:p w14:paraId="25BBC21E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(0.3%)</w:t>
            </w:r>
          </w:p>
        </w:tc>
        <w:tc>
          <w:tcPr>
            <w:tcW w:w="236" w:type="dxa"/>
          </w:tcPr>
          <w:p w14:paraId="2F12C09B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7D73CDA0" w14:textId="77777777" w:rsidR="006C7562" w:rsidRPr="00BF5EDB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 (&lt;0.1%)</w:t>
            </w:r>
          </w:p>
        </w:tc>
        <w:tc>
          <w:tcPr>
            <w:tcW w:w="1484" w:type="dxa"/>
          </w:tcPr>
          <w:p w14:paraId="5EA472BA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EDB">
              <w:rPr>
                <w:rFonts w:ascii="Arial" w:hAnsi="Arial" w:cs="Arial"/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1496" w:type="dxa"/>
          </w:tcPr>
          <w:p w14:paraId="65D2304C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(0.1%)</w:t>
            </w:r>
          </w:p>
        </w:tc>
        <w:tc>
          <w:tcPr>
            <w:tcW w:w="1552" w:type="dxa"/>
          </w:tcPr>
          <w:p w14:paraId="4B93AE92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(0.1%)</w:t>
            </w:r>
          </w:p>
        </w:tc>
      </w:tr>
      <w:tr w:rsidR="006C7562" w:rsidRPr="00F65284" w14:paraId="08DD0B49" w14:textId="77777777" w:rsidTr="00BC714D">
        <w:tc>
          <w:tcPr>
            <w:tcW w:w="1975" w:type="dxa"/>
          </w:tcPr>
          <w:p w14:paraId="51C2D787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Phenytoin</w:t>
            </w:r>
          </w:p>
        </w:tc>
        <w:tc>
          <w:tcPr>
            <w:tcW w:w="1530" w:type="dxa"/>
          </w:tcPr>
          <w:p w14:paraId="3AD329E3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(&lt;0.1%)</w:t>
            </w:r>
          </w:p>
        </w:tc>
        <w:tc>
          <w:tcPr>
            <w:tcW w:w="1440" w:type="dxa"/>
          </w:tcPr>
          <w:p w14:paraId="51FACD1E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1D9BE812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0122AACC" w14:textId="77777777" w:rsidR="006C7562" w:rsidRPr="00BF5EDB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 (0.1%)</w:t>
            </w:r>
          </w:p>
        </w:tc>
        <w:tc>
          <w:tcPr>
            <w:tcW w:w="1484" w:type="dxa"/>
          </w:tcPr>
          <w:p w14:paraId="29FF06B0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5EDB">
              <w:rPr>
                <w:rFonts w:ascii="Arial" w:hAnsi="Arial" w:cs="Arial"/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1496" w:type="dxa"/>
          </w:tcPr>
          <w:p w14:paraId="37B058B8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2" w:type="dxa"/>
          </w:tcPr>
          <w:p w14:paraId="03485477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(0.1%)</w:t>
            </w:r>
          </w:p>
        </w:tc>
      </w:tr>
      <w:tr w:rsidR="006C7562" w:rsidRPr="00F65284" w14:paraId="041485E2" w14:textId="77777777" w:rsidTr="00BC714D">
        <w:tc>
          <w:tcPr>
            <w:tcW w:w="1975" w:type="dxa"/>
          </w:tcPr>
          <w:p w14:paraId="2306AFE3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Primidone</w:t>
            </w:r>
          </w:p>
        </w:tc>
        <w:tc>
          <w:tcPr>
            <w:tcW w:w="1530" w:type="dxa"/>
          </w:tcPr>
          <w:p w14:paraId="5296630F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(&lt;0.1%)</w:t>
            </w:r>
          </w:p>
        </w:tc>
        <w:tc>
          <w:tcPr>
            <w:tcW w:w="1440" w:type="dxa"/>
          </w:tcPr>
          <w:p w14:paraId="6E630B9A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68C110AC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1A98EE5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 (&lt;0.1%)</w:t>
            </w:r>
          </w:p>
        </w:tc>
        <w:tc>
          <w:tcPr>
            <w:tcW w:w="1484" w:type="dxa"/>
          </w:tcPr>
          <w:p w14:paraId="70DBBD0E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96" w:type="dxa"/>
          </w:tcPr>
          <w:p w14:paraId="38F0C86F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2" w:type="dxa"/>
          </w:tcPr>
          <w:p w14:paraId="08461807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6C7562" w:rsidRPr="00F65284" w14:paraId="5881158C" w14:textId="77777777" w:rsidTr="00BC714D">
        <w:tc>
          <w:tcPr>
            <w:tcW w:w="1975" w:type="dxa"/>
          </w:tcPr>
          <w:p w14:paraId="2260F191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Phenobarbital</w:t>
            </w:r>
          </w:p>
        </w:tc>
        <w:tc>
          <w:tcPr>
            <w:tcW w:w="1530" w:type="dxa"/>
          </w:tcPr>
          <w:p w14:paraId="7C1FFF92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(&lt;0.1%)</w:t>
            </w:r>
          </w:p>
        </w:tc>
        <w:tc>
          <w:tcPr>
            <w:tcW w:w="1440" w:type="dxa"/>
          </w:tcPr>
          <w:p w14:paraId="729C7135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76AFF11E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6C1F745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 (&lt;0.1%)</w:t>
            </w:r>
          </w:p>
        </w:tc>
        <w:tc>
          <w:tcPr>
            <w:tcW w:w="1484" w:type="dxa"/>
          </w:tcPr>
          <w:p w14:paraId="6A37F724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96" w:type="dxa"/>
          </w:tcPr>
          <w:p w14:paraId="0011218F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  <w:tc>
          <w:tcPr>
            <w:tcW w:w="1552" w:type="dxa"/>
          </w:tcPr>
          <w:p w14:paraId="2C4119A2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(0.1%)</w:t>
            </w:r>
          </w:p>
        </w:tc>
      </w:tr>
      <w:tr w:rsidR="006C7562" w:rsidRPr="00F65284" w14:paraId="1957F5F1" w14:textId="77777777" w:rsidTr="00BC714D">
        <w:tc>
          <w:tcPr>
            <w:tcW w:w="1975" w:type="dxa"/>
          </w:tcPr>
          <w:p w14:paraId="6B247E17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2061736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EB57152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41C9369F" w14:textId="77777777" w:rsidR="006C7562" w:rsidRPr="00664587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F4157E3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D58F68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</w:tcPr>
          <w:p w14:paraId="63EB70DB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5A5566DC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562" w:rsidRPr="00F65284" w14:paraId="12462BD6" w14:textId="77777777" w:rsidTr="00BC714D">
        <w:tc>
          <w:tcPr>
            <w:tcW w:w="1975" w:type="dxa"/>
          </w:tcPr>
          <w:p w14:paraId="5E82E73B" w14:textId="77777777" w:rsidR="006C7562" w:rsidRPr="00F65284" w:rsidRDefault="006C7562" w:rsidP="00BC714D">
            <w:pPr>
              <w:adjustRightInd w:val="0"/>
              <w:spacing w:before="29" w:after="29"/>
              <w:ind w:firstLine="22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Newer 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AED</w:t>
            </w:r>
          </w:p>
        </w:tc>
        <w:tc>
          <w:tcPr>
            <w:tcW w:w="1530" w:type="dxa"/>
          </w:tcPr>
          <w:p w14:paraId="5EEDA39D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 xml:space="preserve"> (0.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440" w:type="dxa"/>
          </w:tcPr>
          <w:p w14:paraId="5DAAAE6D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4 (1.0%)</w:t>
            </w:r>
          </w:p>
        </w:tc>
        <w:tc>
          <w:tcPr>
            <w:tcW w:w="236" w:type="dxa"/>
          </w:tcPr>
          <w:p w14:paraId="77F2771E" w14:textId="77777777" w:rsidR="006C7562" w:rsidRPr="00664587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2BD0ACD7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2FC">
              <w:rPr>
                <w:rFonts w:ascii="Arial" w:hAnsi="Arial" w:cs="Arial"/>
                <w:color w:val="000000"/>
                <w:sz w:val="18"/>
              </w:rPr>
              <w:t>34 (0.3%)</w:t>
            </w:r>
          </w:p>
        </w:tc>
        <w:tc>
          <w:tcPr>
            <w:tcW w:w="1484" w:type="dxa"/>
          </w:tcPr>
          <w:p w14:paraId="7F838027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(0.9%)</w:t>
            </w:r>
          </w:p>
        </w:tc>
        <w:tc>
          <w:tcPr>
            <w:tcW w:w="1496" w:type="dxa"/>
          </w:tcPr>
          <w:p w14:paraId="72D86661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(0.6%)</w:t>
            </w:r>
          </w:p>
        </w:tc>
        <w:tc>
          <w:tcPr>
            <w:tcW w:w="1552" w:type="dxa"/>
          </w:tcPr>
          <w:p w14:paraId="72DC8E26" w14:textId="77777777" w:rsidR="006C7562" w:rsidRPr="00F65284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 (0.6%)</w:t>
            </w:r>
          </w:p>
        </w:tc>
      </w:tr>
      <w:tr w:rsidR="006C7562" w:rsidRPr="00F65284" w14:paraId="4E4F40B2" w14:textId="77777777" w:rsidTr="00BC714D">
        <w:tc>
          <w:tcPr>
            <w:tcW w:w="1975" w:type="dxa"/>
          </w:tcPr>
          <w:p w14:paraId="290C771A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</w:p>
        </w:tc>
        <w:tc>
          <w:tcPr>
            <w:tcW w:w="1530" w:type="dxa"/>
          </w:tcPr>
          <w:p w14:paraId="5E41E96D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(0.1%)</w:t>
            </w:r>
          </w:p>
        </w:tc>
        <w:tc>
          <w:tcPr>
            <w:tcW w:w="1440" w:type="dxa"/>
          </w:tcPr>
          <w:p w14:paraId="21A4D14B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(0.5%)</w:t>
            </w:r>
          </w:p>
        </w:tc>
        <w:tc>
          <w:tcPr>
            <w:tcW w:w="236" w:type="dxa"/>
          </w:tcPr>
          <w:p w14:paraId="4AFDE3CA" w14:textId="77777777" w:rsidR="006C7562" w:rsidRPr="00664587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0918A968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 (0.1%)</w:t>
            </w:r>
          </w:p>
        </w:tc>
        <w:tc>
          <w:tcPr>
            <w:tcW w:w="1484" w:type="dxa"/>
          </w:tcPr>
          <w:p w14:paraId="1227B946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(0.6%)</w:t>
            </w:r>
          </w:p>
        </w:tc>
        <w:tc>
          <w:tcPr>
            <w:tcW w:w="1496" w:type="dxa"/>
          </w:tcPr>
          <w:p w14:paraId="18FB78A4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(0.2%)</w:t>
            </w:r>
          </w:p>
        </w:tc>
        <w:tc>
          <w:tcPr>
            <w:tcW w:w="1552" w:type="dxa"/>
          </w:tcPr>
          <w:p w14:paraId="024FE6A0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(0.2%)</w:t>
            </w:r>
          </w:p>
        </w:tc>
      </w:tr>
      <w:tr w:rsidR="006C7562" w:rsidRPr="00F65284" w14:paraId="1AC03D55" w14:textId="77777777" w:rsidTr="00BC714D">
        <w:tc>
          <w:tcPr>
            <w:tcW w:w="1975" w:type="dxa"/>
          </w:tcPr>
          <w:p w14:paraId="5171CBD3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Lamotrigine</w:t>
            </w:r>
          </w:p>
        </w:tc>
        <w:tc>
          <w:tcPr>
            <w:tcW w:w="1530" w:type="dxa"/>
          </w:tcPr>
          <w:p w14:paraId="15A5425C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(0.1%)</w:t>
            </w:r>
          </w:p>
        </w:tc>
        <w:tc>
          <w:tcPr>
            <w:tcW w:w="1440" w:type="dxa"/>
          </w:tcPr>
          <w:p w14:paraId="7FEF7BB0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(0.3%)</w:t>
            </w:r>
          </w:p>
        </w:tc>
        <w:tc>
          <w:tcPr>
            <w:tcW w:w="236" w:type="dxa"/>
          </w:tcPr>
          <w:p w14:paraId="21691EF4" w14:textId="77777777" w:rsidR="006C7562" w:rsidRPr="00664587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8D52E9C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 (0.1%)</w:t>
            </w:r>
          </w:p>
        </w:tc>
        <w:tc>
          <w:tcPr>
            <w:tcW w:w="1484" w:type="dxa"/>
          </w:tcPr>
          <w:p w14:paraId="056A0AD1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1496" w:type="dxa"/>
          </w:tcPr>
          <w:p w14:paraId="502D95DE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(0.1%)</w:t>
            </w:r>
          </w:p>
        </w:tc>
        <w:tc>
          <w:tcPr>
            <w:tcW w:w="1552" w:type="dxa"/>
          </w:tcPr>
          <w:p w14:paraId="7FDB4A59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(0.2%)</w:t>
            </w:r>
          </w:p>
        </w:tc>
      </w:tr>
      <w:tr w:rsidR="006C7562" w:rsidRPr="00F65284" w14:paraId="447E4BCB" w14:textId="77777777" w:rsidTr="00BC714D">
        <w:tc>
          <w:tcPr>
            <w:tcW w:w="1975" w:type="dxa"/>
          </w:tcPr>
          <w:p w14:paraId="5BFDA93D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1530" w:type="dxa"/>
          </w:tcPr>
          <w:p w14:paraId="2D526E51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(0.1%)</w:t>
            </w:r>
          </w:p>
        </w:tc>
        <w:tc>
          <w:tcPr>
            <w:tcW w:w="1440" w:type="dxa"/>
          </w:tcPr>
          <w:p w14:paraId="4E5ED525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(0.3%)</w:t>
            </w:r>
          </w:p>
        </w:tc>
        <w:tc>
          <w:tcPr>
            <w:tcW w:w="236" w:type="dxa"/>
          </w:tcPr>
          <w:p w14:paraId="2723BD5E" w14:textId="77777777" w:rsidR="006C7562" w:rsidRPr="00664587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21247938" w14:textId="77777777" w:rsidR="006C7562" w:rsidRPr="00FB516A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 (0.1%)</w:t>
            </w:r>
          </w:p>
        </w:tc>
        <w:tc>
          <w:tcPr>
            <w:tcW w:w="1484" w:type="dxa"/>
          </w:tcPr>
          <w:p w14:paraId="0F4B2A6B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16A">
              <w:rPr>
                <w:rFonts w:ascii="Arial" w:hAnsi="Arial" w:cs="Arial"/>
                <w:color w:val="000000"/>
                <w:sz w:val="18"/>
                <w:szCs w:val="18"/>
              </w:rPr>
              <w:t>2 (0.2%)</w:t>
            </w:r>
          </w:p>
        </w:tc>
        <w:tc>
          <w:tcPr>
            <w:tcW w:w="1496" w:type="dxa"/>
          </w:tcPr>
          <w:p w14:paraId="51A712E0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(0.2%)</w:t>
            </w:r>
          </w:p>
        </w:tc>
        <w:tc>
          <w:tcPr>
            <w:tcW w:w="1552" w:type="dxa"/>
          </w:tcPr>
          <w:p w14:paraId="118C0A92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(0.1%)</w:t>
            </w:r>
          </w:p>
        </w:tc>
      </w:tr>
      <w:tr w:rsidR="006C7562" w:rsidRPr="00F65284" w14:paraId="76A02A24" w14:textId="77777777" w:rsidTr="00BC714D">
        <w:tc>
          <w:tcPr>
            <w:tcW w:w="1975" w:type="dxa"/>
          </w:tcPr>
          <w:p w14:paraId="3C2E92E6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Levetiracetam</w:t>
            </w:r>
          </w:p>
        </w:tc>
        <w:tc>
          <w:tcPr>
            <w:tcW w:w="1530" w:type="dxa"/>
          </w:tcPr>
          <w:p w14:paraId="61C64776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(0.1%)</w:t>
            </w:r>
          </w:p>
        </w:tc>
        <w:tc>
          <w:tcPr>
            <w:tcW w:w="1440" w:type="dxa"/>
          </w:tcPr>
          <w:p w14:paraId="0EB065C4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203CD943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596796A3" w14:textId="77777777" w:rsidR="006C7562" w:rsidRPr="00FB516A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 (0.1%)</w:t>
            </w:r>
          </w:p>
        </w:tc>
        <w:tc>
          <w:tcPr>
            <w:tcW w:w="1484" w:type="dxa"/>
          </w:tcPr>
          <w:p w14:paraId="760AC700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16A">
              <w:rPr>
                <w:rFonts w:ascii="Arial" w:hAnsi="Arial" w:cs="Arial"/>
                <w:color w:val="000000"/>
                <w:sz w:val="18"/>
                <w:szCs w:val="18"/>
              </w:rPr>
              <w:t>2 (0.2%)</w:t>
            </w:r>
          </w:p>
        </w:tc>
        <w:tc>
          <w:tcPr>
            <w:tcW w:w="1496" w:type="dxa"/>
          </w:tcPr>
          <w:p w14:paraId="16813866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(0.1%)</w:t>
            </w:r>
          </w:p>
        </w:tc>
        <w:tc>
          <w:tcPr>
            <w:tcW w:w="1552" w:type="dxa"/>
          </w:tcPr>
          <w:p w14:paraId="765D5C05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</w:tr>
      <w:tr w:rsidR="006C7562" w:rsidRPr="00F65284" w14:paraId="2FD50BE8" w14:textId="77777777" w:rsidTr="00BC714D">
        <w:tc>
          <w:tcPr>
            <w:tcW w:w="1975" w:type="dxa"/>
          </w:tcPr>
          <w:p w14:paraId="797DB0DE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Oxcarbazepine</w:t>
            </w:r>
          </w:p>
        </w:tc>
        <w:tc>
          <w:tcPr>
            <w:tcW w:w="1530" w:type="dxa"/>
          </w:tcPr>
          <w:p w14:paraId="65F73659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  <w:tc>
          <w:tcPr>
            <w:tcW w:w="1440" w:type="dxa"/>
          </w:tcPr>
          <w:p w14:paraId="57ECDE5B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351B23B9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D3641CD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 (&lt;0.1%)</w:t>
            </w:r>
          </w:p>
        </w:tc>
        <w:tc>
          <w:tcPr>
            <w:tcW w:w="1484" w:type="dxa"/>
          </w:tcPr>
          <w:p w14:paraId="55874E42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96" w:type="dxa"/>
          </w:tcPr>
          <w:p w14:paraId="42D20C53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DF5"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  <w:tc>
          <w:tcPr>
            <w:tcW w:w="1552" w:type="dxa"/>
          </w:tcPr>
          <w:p w14:paraId="0F2F9789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6C7562" w:rsidRPr="00F65284" w14:paraId="64D85FD4" w14:textId="77777777" w:rsidTr="00BC714D">
        <w:tc>
          <w:tcPr>
            <w:tcW w:w="1975" w:type="dxa"/>
          </w:tcPr>
          <w:p w14:paraId="1B369268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Pregabalin</w:t>
            </w:r>
          </w:p>
        </w:tc>
        <w:tc>
          <w:tcPr>
            <w:tcW w:w="1530" w:type="dxa"/>
          </w:tcPr>
          <w:p w14:paraId="179B726E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  <w:tc>
          <w:tcPr>
            <w:tcW w:w="1440" w:type="dxa"/>
          </w:tcPr>
          <w:p w14:paraId="4181A6D9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25EAB836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38A9C03E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 (&lt;0.1%)</w:t>
            </w:r>
          </w:p>
        </w:tc>
        <w:tc>
          <w:tcPr>
            <w:tcW w:w="1484" w:type="dxa"/>
          </w:tcPr>
          <w:p w14:paraId="6340CF15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96" w:type="dxa"/>
          </w:tcPr>
          <w:p w14:paraId="48553A2F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DF5"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  <w:tc>
          <w:tcPr>
            <w:tcW w:w="1552" w:type="dxa"/>
          </w:tcPr>
          <w:p w14:paraId="08A609F3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(&lt;0.1%)</w:t>
            </w:r>
          </w:p>
        </w:tc>
      </w:tr>
      <w:tr w:rsidR="006C7562" w:rsidRPr="00F65284" w14:paraId="005E4149" w14:textId="77777777" w:rsidTr="00BC714D">
        <w:tc>
          <w:tcPr>
            <w:tcW w:w="1975" w:type="dxa"/>
          </w:tcPr>
          <w:p w14:paraId="5BE13CD4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Zonisamide</w:t>
            </w:r>
          </w:p>
        </w:tc>
        <w:tc>
          <w:tcPr>
            <w:tcW w:w="1530" w:type="dxa"/>
          </w:tcPr>
          <w:p w14:paraId="6AE771AC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(&lt;0.1%)</w:t>
            </w:r>
          </w:p>
        </w:tc>
        <w:tc>
          <w:tcPr>
            <w:tcW w:w="1440" w:type="dxa"/>
          </w:tcPr>
          <w:p w14:paraId="4C00B976" w14:textId="77777777" w:rsidR="006C7562" w:rsidRPr="00F65284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284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52D7C5F3" w14:textId="77777777" w:rsidR="006C7562" w:rsidRPr="00664587" w:rsidRDefault="006C7562" w:rsidP="00BC714D">
            <w:pPr>
              <w:adjustRightInd w:val="0"/>
              <w:spacing w:before="29" w:after="29"/>
              <w:ind w:firstLine="48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3AD1CC33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 (&lt;0.1%)</w:t>
            </w:r>
          </w:p>
        </w:tc>
        <w:tc>
          <w:tcPr>
            <w:tcW w:w="1484" w:type="dxa"/>
          </w:tcPr>
          <w:p w14:paraId="1D93A0F6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1496" w:type="dxa"/>
          </w:tcPr>
          <w:p w14:paraId="4392CE71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2" w:type="dxa"/>
          </w:tcPr>
          <w:p w14:paraId="72068D0E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</w:tr>
      <w:tr w:rsidR="006C7562" w:rsidRPr="00F65284" w14:paraId="1B60408C" w14:textId="77777777" w:rsidTr="00BC714D">
        <w:tc>
          <w:tcPr>
            <w:tcW w:w="1975" w:type="dxa"/>
          </w:tcPr>
          <w:p w14:paraId="3AFB2FEA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AED NOS</w:t>
            </w:r>
          </w:p>
        </w:tc>
        <w:tc>
          <w:tcPr>
            <w:tcW w:w="1530" w:type="dxa"/>
          </w:tcPr>
          <w:p w14:paraId="5169E5CC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40" w:type="dxa"/>
          </w:tcPr>
          <w:p w14:paraId="66A19767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236" w:type="dxa"/>
          </w:tcPr>
          <w:p w14:paraId="603A3185" w14:textId="77777777" w:rsidR="006C7562" w:rsidRPr="00664587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14:paraId="338A92C2" w14:textId="77777777" w:rsidR="006C7562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84" w:type="dxa"/>
          </w:tcPr>
          <w:p w14:paraId="662CF557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96" w:type="dxa"/>
          </w:tcPr>
          <w:p w14:paraId="65CCF4C7" w14:textId="77777777" w:rsidR="006C7562" w:rsidRPr="00F65284" w:rsidRDefault="006C7562" w:rsidP="00BC714D">
            <w:pPr>
              <w:adjustRightInd w:val="0"/>
              <w:spacing w:before="29" w:after="29"/>
              <w:ind w:firstLine="44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2" w:type="dxa"/>
          </w:tcPr>
          <w:p w14:paraId="02D75EE6" w14:textId="77777777" w:rsidR="006C7562" w:rsidRPr="00F65284" w:rsidRDefault="006C7562" w:rsidP="00BC714D">
            <w:pPr>
              <w:adjustRightInd w:val="0"/>
              <w:spacing w:before="29" w:after="29"/>
              <w:ind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(&lt;0.1%)</w:t>
            </w:r>
          </w:p>
        </w:tc>
      </w:tr>
    </w:tbl>
    <w:p w14:paraId="56990E08" w14:textId="77777777" w:rsidR="006C7562" w:rsidRPr="00850F36" w:rsidRDefault="006C7562" w:rsidP="00850F36">
      <w:pPr>
        <w:pStyle w:val="NoSpacing"/>
        <w:rPr>
          <w:sz w:val="19"/>
          <w:szCs w:val="19"/>
        </w:rPr>
      </w:pPr>
      <w:r w:rsidRPr="00850F36">
        <w:rPr>
          <w:sz w:val="19"/>
          <w:szCs w:val="19"/>
        </w:rPr>
        <w:t>DHFR=dihydrofolate reductase inhibitor, AED=anti-epileptic drug, NOS=not otherwise specified, periconceptional=</w:t>
      </w:r>
      <w:r w:rsidRPr="00850F36">
        <w:rPr>
          <w:rFonts w:cstheme="minorHAnsi"/>
          <w:sz w:val="19"/>
          <w:szCs w:val="19"/>
        </w:rPr>
        <w:t xml:space="preserve">one lunar month pre-LMP through </w:t>
      </w:r>
      <w:r>
        <w:rPr>
          <w:rFonts w:cstheme="minorHAnsi"/>
          <w:sz w:val="19"/>
          <w:szCs w:val="19"/>
        </w:rPr>
        <w:t xml:space="preserve">first </w:t>
      </w:r>
      <w:r w:rsidRPr="00850F36">
        <w:rPr>
          <w:rFonts w:cstheme="minorHAnsi"/>
          <w:sz w:val="19"/>
          <w:szCs w:val="19"/>
        </w:rPr>
        <w:t>lunar month).</w:t>
      </w:r>
      <w:r w:rsidRPr="00850F36">
        <w:rPr>
          <w:rFonts w:ascii="Arial" w:hAnsi="Arial" w:cs="Arial"/>
          <w:sz w:val="19"/>
          <w:szCs w:val="19"/>
        </w:rPr>
        <w:t xml:space="preserve"> </w:t>
      </w:r>
    </w:p>
    <w:p w14:paraId="48BC2B36" w14:textId="77777777" w:rsidR="006C7562" w:rsidRDefault="006C7562" w:rsidP="00850F36">
      <w:pPr>
        <w:pStyle w:val="NoSpacing"/>
        <w:rPr>
          <w:sz w:val="19"/>
          <w:szCs w:val="19"/>
        </w:rPr>
      </w:pPr>
      <w:r>
        <w:rPr>
          <w:rFonts w:cstheme="minorHAnsi"/>
          <w:sz w:val="19"/>
          <w:szCs w:val="19"/>
        </w:rPr>
        <w:t>†</w:t>
      </w:r>
      <w:r w:rsidRPr="00850F36">
        <w:rPr>
          <w:sz w:val="19"/>
          <w:szCs w:val="19"/>
        </w:rPr>
        <w:t xml:space="preserve">Note: Among controls, one mother was exposed to both a DHFR inhibitor and an AED: </w:t>
      </w:r>
      <w:r>
        <w:rPr>
          <w:sz w:val="19"/>
          <w:szCs w:val="19"/>
        </w:rPr>
        <w:t xml:space="preserve">(triamterene and phenobarbital). </w:t>
      </w:r>
    </w:p>
    <w:p w14:paraId="75D29C71" w14:textId="77777777" w:rsidR="006C7562" w:rsidRPr="00850F36" w:rsidRDefault="006C7562" w:rsidP="00850F36">
      <w:pPr>
        <w:pStyle w:val="NoSpacing"/>
        <w:rPr>
          <w:sz w:val="19"/>
          <w:szCs w:val="19"/>
        </w:rPr>
      </w:pPr>
      <w:r w:rsidRPr="00850F36">
        <w:rPr>
          <w:sz w:val="19"/>
          <w:szCs w:val="19"/>
        </w:rPr>
        <w:t>Seven controls were exposed to more than one AED: Three controls were exposed to both an older and a newer AED: (valproic acid and levetiracetam), (carbamazepine and levetiracetam), (primidone and lamotrigine); Four controls were exposed to two newer AEDs in the peri period: two to (topiramate and levetiracetam), (topiramate and gabapentin), (gabapentin and lamotrigine) – This group of multiply exposed controls is identical for both the periconceptional and first trimester exposure windows</w:t>
      </w:r>
    </w:p>
    <w:p w14:paraId="2BC8957C" w14:textId="77777777" w:rsidR="006C7562" w:rsidRPr="00850F36" w:rsidRDefault="006C7562" w:rsidP="00850F36">
      <w:pPr>
        <w:pStyle w:val="NoSpacing"/>
        <w:rPr>
          <w:sz w:val="19"/>
          <w:szCs w:val="19"/>
        </w:rPr>
      </w:pPr>
    </w:p>
    <w:p w14:paraId="491B8865" w14:textId="77777777" w:rsidR="006C7562" w:rsidRPr="00850F36" w:rsidRDefault="006C7562" w:rsidP="00850F36">
      <w:pPr>
        <w:pStyle w:val="NoSpacing"/>
        <w:rPr>
          <w:sz w:val="19"/>
          <w:szCs w:val="19"/>
        </w:rPr>
      </w:pPr>
      <w:r>
        <w:rPr>
          <w:rFonts w:cstheme="minorHAnsi"/>
          <w:sz w:val="19"/>
          <w:szCs w:val="19"/>
        </w:rPr>
        <w:t>‡</w:t>
      </w:r>
      <w:r w:rsidRPr="00850F36">
        <w:rPr>
          <w:sz w:val="19"/>
          <w:szCs w:val="19"/>
        </w:rPr>
        <w:t>Note: Among oral cleft cases, two cases were exposed to more than one AED: one case mother was exposed to four AEDs in T1, one older and three newer AEDs: (valproic acid, topiramate, levetiracetam and zonisamide), another case was exposed to both an older and a newer AED: (phenytoin and topiramate)</w:t>
      </w:r>
    </w:p>
    <w:p w14:paraId="404C5612" w14:textId="77777777" w:rsidR="006C7562" w:rsidRPr="00850F36" w:rsidRDefault="006C7562" w:rsidP="00850F36">
      <w:pPr>
        <w:pStyle w:val="NoSpacing"/>
        <w:rPr>
          <w:sz w:val="19"/>
          <w:szCs w:val="19"/>
        </w:rPr>
      </w:pPr>
    </w:p>
    <w:p w14:paraId="4B8EC00A" w14:textId="77777777" w:rsidR="006C7562" w:rsidRPr="00850F36" w:rsidRDefault="006C7562" w:rsidP="00850F36">
      <w:pPr>
        <w:pStyle w:val="NoSpacing"/>
        <w:rPr>
          <w:sz w:val="19"/>
          <w:szCs w:val="19"/>
        </w:rPr>
      </w:pPr>
      <w:r>
        <w:rPr>
          <w:rFonts w:cstheme="minorHAnsi"/>
          <w:sz w:val="19"/>
          <w:szCs w:val="19"/>
        </w:rPr>
        <w:t xml:space="preserve">§ </w:t>
      </w:r>
      <w:r w:rsidRPr="00850F36">
        <w:rPr>
          <w:sz w:val="19"/>
          <w:szCs w:val="19"/>
        </w:rPr>
        <w:t>Note: Among urinary tract defect cases, one mother was exposed to both a DHFR inhibitor and an AED in T1: (triamterene and valproic acid), two cases were exposed to both an older and a newer AED (valproic acid and topiramate ), (valproic acid and gabapentin), one case was exposed to two older AEDs in T1: (valproic acid and carbamazepine), one case was exposed to two newer AEDs in T1: (levetiracetam and oxcarbazepine)</w:t>
      </w:r>
    </w:p>
    <w:p w14:paraId="3E6A0EC2" w14:textId="77777777" w:rsidR="006C7562" w:rsidRPr="00850F36" w:rsidRDefault="006C7562" w:rsidP="00850F36">
      <w:pPr>
        <w:pStyle w:val="NoSpacing"/>
        <w:rPr>
          <w:sz w:val="19"/>
          <w:szCs w:val="19"/>
        </w:rPr>
      </w:pPr>
    </w:p>
    <w:p w14:paraId="05C4FB20" w14:textId="77777777" w:rsidR="006C7562" w:rsidRDefault="006C7562" w:rsidP="00850F36">
      <w:pPr>
        <w:pStyle w:val="NoSpacing"/>
        <w:sectPr w:rsidR="006C7562" w:rsidSect="00BC714D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¶ </w:t>
      </w:r>
      <w:r w:rsidRPr="00850F36">
        <w:rPr>
          <w:sz w:val="19"/>
          <w:szCs w:val="19"/>
        </w:rPr>
        <w:t>Note: Among cardiac cases, one mother was exposed to both a DHFR inhibitor and an AED in T1: (trimethoprim and anticonvulsant NOS), 5 were exposed to both an older and a newer AED: (phenytoin and topiramate)</w:t>
      </w:r>
      <w:r w:rsidRPr="00850F36">
        <w:rPr>
          <w:b/>
          <w:sz w:val="19"/>
          <w:szCs w:val="19"/>
        </w:rPr>
        <w:t>,</w:t>
      </w:r>
      <w:r w:rsidRPr="00850F36">
        <w:rPr>
          <w:sz w:val="19"/>
          <w:szCs w:val="19"/>
        </w:rPr>
        <w:t xml:space="preserve"> (valproic acid and topiramate), (phenytoin and gabapentin), (phenytoin and lamotrigine) (carbamazepine and lamotrigine); one case was exposed to two older AEDs in T1: (carbamazepine and phenobarbital)</w:t>
      </w:r>
    </w:p>
    <w:p w14:paraId="70E2BB83" w14:textId="77777777" w:rsidR="006C7562" w:rsidRDefault="006C7562" w:rsidP="00850F36">
      <w:pPr>
        <w:rPr>
          <w:b/>
        </w:rPr>
      </w:pPr>
      <w:r>
        <w:rPr>
          <w:b/>
        </w:rPr>
        <w:lastRenderedPageBreak/>
        <w:t>Supplementary Table 2.</w:t>
      </w:r>
      <w:r w:rsidRPr="002062F4">
        <w:rPr>
          <w:b/>
        </w:rPr>
        <w:t xml:space="preserve"> </w:t>
      </w:r>
      <w:r>
        <w:rPr>
          <w:b/>
        </w:rPr>
        <w:t xml:space="preserve">Association between folic acid antagonists and malformation subgroups, Slone Birth Defect Study, 1998-2015 </w:t>
      </w:r>
    </w:p>
    <w:tbl>
      <w:tblPr>
        <w:tblW w:w="13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1440"/>
        <w:gridCol w:w="1170"/>
        <w:gridCol w:w="1348"/>
        <w:gridCol w:w="1383"/>
        <w:gridCol w:w="1229"/>
        <w:gridCol w:w="1350"/>
        <w:gridCol w:w="1350"/>
      </w:tblGrid>
      <w:tr w:rsidR="006C7562" w14:paraId="698B5387" w14:textId="77777777" w:rsidTr="003A2F4C">
        <w:trPr>
          <w:cantSplit/>
          <w:tblHeader/>
        </w:trPr>
        <w:tc>
          <w:tcPr>
            <w:tcW w:w="3951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54075F8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</w:rPr>
              <w:br w:type="page"/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4FA7BCA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1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6BE647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9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DHFR Inhibitors</w:t>
            </w:r>
          </w:p>
        </w:tc>
        <w:tc>
          <w:tcPr>
            <w:tcW w:w="3929" w:type="dxa"/>
            <w:gridSpan w:val="3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4E6DE8DD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B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AED</w:t>
            </w:r>
          </w:p>
        </w:tc>
      </w:tr>
      <w:tr w:rsidR="006C7562" w14:paraId="30E396CA" w14:textId="77777777" w:rsidTr="003A2F4C">
        <w:trPr>
          <w:cantSplit/>
          <w:tblHeader/>
        </w:trPr>
        <w:tc>
          <w:tcPr>
            <w:tcW w:w="3951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1105BCE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B9EA7AF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Unexposed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093A0BD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DHFR Inhibitor</w:t>
            </w:r>
          </w:p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A8A6D65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Crude OR</w:t>
            </w:r>
          </w:p>
          <w:p w14:paraId="4B938366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38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24B35F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Adj. OR</w:t>
            </w:r>
          </w:p>
          <w:p w14:paraId="1C02431E" w14:textId="77777777" w:rsidR="006C7562" w:rsidRDefault="006C7562" w:rsidP="005860B6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CI)†</w:t>
            </w:r>
          </w:p>
        </w:tc>
        <w:tc>
          <w:tcPr>
            <w:tcW w:w="1229" w:type="dxa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1DD59644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AED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5F2634E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Crude OR </w:t>
            </w:r>
          </w:p>
          <w:p w14:paraId="5ED86E71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011CD5A" w14:textId="77777777" w:rsidR="006C7562" w:rsidRDefault="006C7562" w:rsidP="00BC714D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Adj. OR</w:t>
            </w:r>
          </w:p>
          <w:p w14:paraId="35FFC98A" w14:textId="77777777" w:rsidR="006C7562" w:rsidRDefault="006C7562" w:rsidP="005860B6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(95% CI)†</w:t>
            </w:r>
          </w:p>
        </w:tc>
      </w:tr>
      <w:tr w:rsidR="006C7562" w14:paraId="4026F4BD" w14:textId="77777777" w:rsidTr="003A2F4C">
        <w:trPr>
          <w:cantSplit/>
        </w:trPr>
        <w:tc>
          <w:tcPr>
            <w:tcW w:w="3951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61C8D30" w14:textId="77777777" w:rsidR="006C7562" w:rsidRPr="00B9181A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181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Controls (N=10194)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061410E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10126 (99.3%)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E098F07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(0.2%)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FC0CA52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521E9044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799170DE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(0.5%)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3F1A1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9866E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</w:tr>
      <w:tr w:rsidR="006C7562" w14:paraId="2C685C5E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187DB24" w14:textId="77777777" w:rsidR="006C7562" w:rsidRPr="00C25698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56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Any </w:t>
            </w:r>
            <w:r w:rsidRPr="00264B5A">
              <w:rPr>
                <w:rFonts w:ascii="Arial" w:hAnsi="Arial" w:cs="Arial"/>
                <w:b/>
                <w:color w:val="000000"/>
                <w:sz w:val="16"/>
                <w:szCs w:val="16"/>
              </w:rPr>
              <w:t>NTD</w:t>
            </w:r>
            <w:r w:rsidRPr="00C256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(N=402)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3EEBDCF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(98.3%)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8F47DD9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 (0.0%)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68CCAE5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32507D99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54EF1838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(1.7%)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0FAAD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3.4(1.5,7.5)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DB2FD" w14:textId="77777777" w:rsidR="006C7562" w:rsidRDefault="006C7562" w:rsidP="005860B6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2.8(1.2,6.2)</w:t>
            </w:r>
            <w:r w:rsidRPr="00B975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‡</w:t>
            </w:r>
          </w:p>
        </w:tc>
      </w:tr>
      <w:tr w:rsidR="006C7562" w14:paraId="2CED3D8A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AAC4E6D" w14:textId="77777777" w:rsidR="006C7562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F4981FD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20CB14F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BFAFAD6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6675ED75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55239C4F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077BD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E5CDC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7562" w14:paraId="73AEDF76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45E93E7" w14:textId="77777777" w:rsidR="006C7562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698">
              <w:rPr>
                <w:rFonts w:ascii="Arial" w:hAnsi="Arial" w:cs="Arial"/>
                <w:b/>
                <w:color w:val="000000"/>
                <w:sz w:val="16"/>
                <w:szCs w:val="16"/>
              </w:rPr>
              <w:t>Oral Clefts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(N=1284)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B5CC44E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1266 (98.6%)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0E3D7CE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(0.2%)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FDAA9CB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0.9(0.2,3.0)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52B08DD0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5A3D3FD3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(1.2%)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664A1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2.3(1.3,4.0)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F72AB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1.9(1.1,3.5)</w:t>
            </w:r>
          </w:p>
        </w:tc>
      </w:tr>
      <w:tr w:rsidR="006C7562" w14:paraId="3A8B211D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6BFADCD" w14:textId="77777777" w:rsidR="006C7562" w:rsidRDefault="006C7562" w:rsidP="00BC714D">
            <w:pPr>
              <w:adjustRightInd w:val="0"/>
              <w:spacing w:before="29" w:after="29"/>
              <w:ind w:firstLine="2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Isolated Oral Clefts (N=1086)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27B55BB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1070 (98.5%)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094D2FB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(0.2%)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86EBE2D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0.7(0.1,2.9)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5B8299C4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3C51D0BD" w14:textId="77777777" w:rsidR="006C7562" w:rsidRDefault="006C7562" w:rsidP="00BC714D">
            <w:pPr>
              <w:adjustRightInd w:val="0"/>
              <w:spacing w:before="29" w:after="29"/>
              <w:ind w:firstLine="3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(1.3%)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1C904" w14:textId="77777777" w:rsidR="006C7562" w:rsidRDefault="006C7562" w:rsidP="00BC714D">
            <w:pPr>
              <w:adjustRightInd w:val="0"/>
              <w:spacing w:before="29" w:after="29"/>
              <w:ind w:firstLine="3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2.5(1.4,4.5)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95694" w14:textId="77777777" w:rsidR="006C7562" w:rsidRDefault="006C7562" w:rsidP="00BC714D">
            <w:pPr>
              <w:adjustRightInd w:val="0"/>
              <w:spacing w:before="29" w:after="29"/>
              <w:ind w:firstLine="3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2.1(1.1,3.9)</w:t>
            </w:r>
          </w:p>
        </w:tc>
      </w:tr>
      <w:tr w:rsidR="006C7562" w14:paraId="733A5DD5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6823BF7" w14:textId="77777777" w:rsidR="006C7562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D4331D2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5DB1CE2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1EFCA8A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4739F210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1508392A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5C291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62B5C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7562" w14:paraId="0F652A15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12EA66C" w14:textId="77777777" w:rsidR="006C7562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698">
              <w:rPr>
                <w:rFonts w:ascii="Arial" w:hAnsi="Arial" w:cs="Arial"/>
                <w:b/>
                <w:color w:val="000000"/>
                <w:sz w:val="16"/>
                <w:szCs w:val="16"/>
              </w:rPr>
              <w:t>Urinary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Defects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(N=2472)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5B34265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2441 (98.7%)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906E945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(0.4%)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92FC7F8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1.4(0.7,3.1)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79174F01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1.5(0.7,3.2)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0E3ED85F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(0.9%)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F637F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1.6(1.0,2.7)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8AE58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1.5(0.9,2.5)</w:t>
            </w:r>
          </w:p>
        </w:tc>
      </w:tr>
      <w:tr w:rsidR="006C7562" w14:paraId="6198C2E1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70C1F60" w14:textId="77777777" w:rsidR="006C7562" w:rsidRDefault="006C7562" w:rsidP="00BC714D">
            <w:pPr>
              <w:adjustRightInd w:val="0"/>
              <w:spacing w:before="29" w:after="29"/>
              <w:ind w:firstLine="2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Isolated Urinary Defect (N=1598)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71C851B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1581 (98.9%)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C2B57D7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(0.4%)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5D5B6B0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1.5(0.6,3.6)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62CE40C6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1.5(0.6,3.8)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1D97C6AC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(0.7%)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D66AF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1.3(0.7,2.6)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93C3D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1.3(0.7,2.5)</w:t>
            </w:r>
          </w:p>
        </w:tc>
      </w:tr>
      <w:tr w:rsidR="006C7562" w14:paraId="6D181582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C791FF5" w14:textId="77777777" w:rsidR="006C7562" w:rsidRDefault="006C7562" w:rsidP="00BC714D">
            <w:pPr>
              <w:adjustRightInd w:val="0"/>
              <w:spacing w:before="29" w:after="29"/>
              <w:ind w:firstLine="2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Non-Obstructive Urinary Defect (N=1526)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DCBDB44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1504 (98.6%)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0A76A56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(0.5%)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1A74CA5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1.8(0.8,4.2)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5A3422E4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1.8(0.8,4.3)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1D2B7393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(1.0%)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D93B6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1.9(1.1,3.4)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887A1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1.8(1.0,3.2)</w:t>
            </w:r>
          </w:p>
        </w:tc>
      </w:tr>
      <w:tr w:rsidR="006C7562" w14:paraId="7B386EF7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FFE1D41" w14:textId="77777777" w:rsidR="006C7562" w:rsidRDefault="006C7562" w:rsidP="00BC714D">
            <w:pPr>
              <w:adjustRightInd w:val="0"/>
              <w:spacing w:before="29" w:after="29"/>
              <w:ind w:firstLine="4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Isolated Non-Obstructive Urinary Defect (N=934)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2B5185C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(98.5%)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87461C7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(0.6%)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3D7FFC4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2.5(1.0,6.2)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107BA7F8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2.7(1.1,6.5)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72E79D8C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(1.0%)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3F680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1.9(0.9,3.8)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4630A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1.8(0.9,3.7)</w:t>
            </w:r>
          </w:p>
        </w:tc>
      </w:tr>
      <w:tr w:rsidR="006C7562" w14:paraId="60C761BF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F05EEFE" w14:textId="77777777" w:rsidR="006C7562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1AE6A73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B36B85B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D4B818D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54B60039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65336A3D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F96B5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54A7D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7562" w14:paraId="0A32694C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BFDB480" w14:textId="77777777" w:rsidR="006C7562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698">
              <w:rPr>
                <w:rFonts w:ascii="Arial" w:hAnsi="Arial" w:cs="Arial"/>
                <w:b/>
                <w:color w:val="000000"/>
                <w:sz w:val="16"/>
                <w:szCs w:val="16"/>
              </w:rPr>
              <w:t>Cardiac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Defects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(N=6095)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F0283B8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6036 (99.0%)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E83EEEE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(0.2%)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671E611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0.6(0.3,1.3)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0A941091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0.6(0.3,1.3)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6D4C3DD9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(0.8%)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DB05C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1.6(1.1,2.3)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37D15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1.4(0.9,2.1)</w:t>
            </w:r>
          </w:p>
        </w:tc>
      </w:tr>
      <w:tr w:rsidR="006C7562" w14:paraId="305C60A6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AFE33D8" w14:textId="77777777" w:rsidR="006C7562" w:rsidRDefault="006C7562" w:rsidP="00BC714D">
            <w:pPr>
              <w:adjustRightInd w:val="0"/>
              <w:spacing w:before="29" w:after="29"/>
              <w:ind w:firstLine="2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Isolated Cardiac Defect (N=4670)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517B7E5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4626 (99.1%)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9F6782D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(0.2%)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F6D21BB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0.7(0.3,1.5)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68B3AC11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0.7(0.3,1.5)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4FDCFDAA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(0.8%)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C3567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1.5(1.0,2.3)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997AB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1.4(0.9,2.1)</w:t>
            </w:r>
          </w:p>
        </w:tc>
      </w:tr>
      <w:tr w:rsidR="006C7562" w14:paraId="2695A288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2F49EDD" w14:textId="77777777" w:rsidR="006C7562" w:rsidRDefault="006C7562" w:rsidP="00BC714D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D7F66F7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B9DF408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5A7E318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44C00A3A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16552C50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1B959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085B0" w14:textId="77777777" w:rsidR="006C7562" w:rsidRDefault="006C7562" w:rsidP="00BC714D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7562" w14:paraId="1182728D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588FCF8" w14:textId="77777777" w:rsidR="006C7562" w:rsidRDefault="006C7562" w:rsidP="00BC714D">
            <w:pPr>
              <w:adjustRightInd w:val="0"/>
              <w:spacing w:before="29" w:after="29"/>
              <w:ind w:firstLine="2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Conotruncal Defects (N=1090)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35D8D77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1076 (98.7%)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708B9C4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(0.1%)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4CB5C22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689A6C93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074436A5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(1.2%)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1195A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2.3(1.3,4.2)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6817D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2.0(1.1,3.8)</w:t>
            </w:r>
          </w:p>
        </w:tc>
      </w:tr>
      <w:tr w:rsidR="006C7562" w14:paraId="16D54FD5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4715267" w14:textId="77777777" w:rsidR="006C7562" w:rsidRDefault="006C7562" w:rsidP="00BC714D">
            <w:pPr>
              <w:adjustRightInd w:val="0"/>
              <w:spacing w:before="29" w:after="29"/>
              <w:ind w:firstLine="4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Isolated Conotruncal Defect (N=859)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A7328B0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 (98.8%)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EECB7A9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 (0.0%)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A4EB26C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681FC5E1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25F7311E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(1.2%)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4005A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2.3(1.1,4.4)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E35DD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2.0(1.0,4.0)</w:t>
            </w:r>
          </w:p>
        </w:tc>
      </w:tr>
      <w:tr w:rsidR="006C7562" w14:paraId="14138042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0644B1D" w14:textId="77777777" w:rsidR="006C7562" w:rsidRDefault="006C7562" w:rsidP="00BC714D">
            <w:pPr>
              <w:adjustRightInd w:val="0"/>
              <w:spacing w:before="29" w:after="29"/>
              <w:ind w:firstLine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B5A">
              <w:rPr>
                <w:rFonts w:ascii="Arial" w:hAnsi="Arial" w:cs="Arial"/>
                <w:color w:val="000000"/>
                <w:sz w:val="16"/>
                <w:szCs w:val="16"/>
              </w:rPr>
              <w:t>VSD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(N=2888)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2A25BDE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2866 (99.2%)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9AB46AA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(0.0%)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AC2BAB5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3B816827" w14:textId="77777777" w:rsidR="006C7562" w:rsidRDefault="006C7562" w:rsidP="00BC714D">
            <w:pPr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6E85750F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(0.7%)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8B8F0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1.3(0.8,2.2)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B85A9" w14:textId="77777777" w:rsidR="006C7562" w:rsidRDefault="006C7562" w:rsidP="00BC714D">
            <w:pPr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1.2(0.7,2.1)</w:t>
            </w:r>
          </w:p>
        </w:tc>
      </w:tr>
      <w:tr w:rsidR="006C7562" w14:paraId="0305D59C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B2C31FA" w14:textId="77777777" w:rsidR="006C7562" w:rsidRDefault="006C7562" w:rsidP="00BC714D">
            <w:pPr>
              <w:adjustRightInd w:val="0"/>
              <w:spacing w:before="29" w:after="29"/>
              <w:ind w:firstLine="4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Isolated VSD (N=2387)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9862107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2370 (99.3%)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9AE0840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(0.0%)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47F38B9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6FAFD0E5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46EDCA2A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(0.7%)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19988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1.3(0.7,2.3)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BBBF1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1.2(0.7,2.2)</w:t>
            </w:r>
          </w:p>
        </w:tc>
      </w:tr>
      <w:tr w:rsidR="006C7562" w14:paraId="200CFB57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11E078F9" w14:textId="77777777" w:rsidR="006C7562" w:rsidRDefault="006C7562" w:rsidP="00BC714D">
            <w:pPr>
              <w:keepNext/>
              <w:adjustRightInd w:val="0"/>
              <w:spacing w:before="29" w:after="29"/>
              <w:ind w:firstLine="2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</w:t>
            </w:r>
            <w:r w:rsidRPr="004905DB">
              <w:rPr>
                <w:rFonts w:ascii="Arial" w:hAnsi="Arial" w:cs="Arial"/>
                <w:color w:val="000000"/>
                <w:sz w:val="16"/>
                <w:szCs w:val="16"/>
              </w:rPr>
              <w:t>CHD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(N=3528)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B8D9DE2" w14:textId="77777777" w:rsidR="006C7562" w:rsidRDefault="006C7562" w:rsidP="00BC714D">
            <w:pPr>
              <w:keepNext/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3494 (99.0%)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32EEC523" w14:textId="77777777" w:rsidR="006C7562" w:rsidRDefault="006C7562" w:rsidP="00BC714D">
            <w:pPr>
              <w:keepNext/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(0.3%)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D0DA80F" w14:textId="77777777" w:rsidR="006C7562" w:rsidRDefault="006C7562" w:rsidP="00BC714D">
            <w:pPr>
              <w:keepNext/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1.0(0.5,2.1)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5FF500D8" w14:textId="77777777" w:rsidR="006C7562" w:rsidRDefault="006C7562" w:rsidP="00BC714D">
            <w:pPr>
              <w:keepNext/>
              <w:adjustRightInd w:val="0"/>
              <w:spacing w:before="29" w:after="29"/>
              <w:ind w:firstLine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0.9(0.4,2.0)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552E3D8D" w14:textId="77777777" w:rsidR="006C7562" w:rsidRDefault="006C7562" w:rsidP="00BC714D">
            <w:pPr>
              <w:keepNext/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(0.7%)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C3751" w14:textId="77777777" w:rsidR="006C7562" w:rsidRDefault="006C7562" w:rsidP="00BC714D">
            <w:pPr>
              <w:keepNext/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1.4(0.9,2.3)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30A40" w14:textId="77777777" w:rsidR="006C7562" w:rsidRDefault="006C7562" w:rsidP="00BC714D">
            <w:pPr>
              <w:keepNext/>
              <w:adjustRightInd w:val="0"/>
              <w:spacing w:before="29" w:after="29"/>
              <w:ind w:firstLine="3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1.2(0.8,2.0)</w:t>
            </w:r>
          </w:p>
        </w:tc>
      </w:tr>
      <w:tr w:rsidR="006C7562" w14:paraId="76336C67" w14:textId="77777777" w:rsidTr="003A2F4C">
        <w:trPr>
          <w:cantSplit/>
        </w:trPr>
        <w:tc>
          <w:tcPr>
            <w:tcW w:w="395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D12F406" w14:textId="77777777" w:rsidR="006C7562" w:rsidRDefault="006C7562" w:rsidP="00BC714D">
            <w:pPr>
              <w:adjustRightInd w:val="0"/>
              <w:spacing w:before="29" w:after="29"/>
              <w:ind w:firstLine="4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Isolated Other CHD (N=2496)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4B286598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2472 (99.0%)</w:t>
            </w: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7CE42C5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(0.3%)</w:t>
            </w:r>
          </w:p>
        </w:tc>
        <w:tc>
          <w:tcPr>
            <w:tcW w:w="1348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EE47580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1.1(0.5,2.5)</w:t>
            </w:r>
          </w:p>
        </w:tc>
        <w:tc>
          <w:tcPr>
            <w:tcW w:w="13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auto"/>
            </w:tcBorders>
            <w:tcMar>
              <w:left w:w="29" w:type="dxa"/>
              <w:right w:w="29" w:type="dxa"/>
            </w:tcMar>
          </w:tcPr>
          <w:p w14:paraId="4D7CABF5" w14:textId="77777777" w:rsidR="006C7562" w:rsidRDefault="006C7562" w:rsidP="00BC714D">
            <w:pPr>
              <w:adjustRightInd w:val="0"/>
              <w:spacing w:before="29" w:after="29"/>
              <w:ind w:firstLine="4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1.0(0.4,2.3)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7" w:space="0" w:color="000000"/>
              <w:right w:val="single" w:sz="7" w:space="0" w:color="000000"/>
            </w:tcBorders>
          </w:tcPr>
          <w:p w14:paraId="42DDA49B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(0.7%)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0968A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1.4(0.8,2.4)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C09DE" w14:textId="77777777" w:rsidR="006C7562" w:rsidRDefault="006C7562" w:rsidP="00BC714D">
            <w:pPr>
              <w:adjustRightInd w:val="0"/>
              <w:spacing w:before="29" w:after="29"/>
              <w:ind w:firstLine="45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1.2(0.7,2.1)</w:t>
            </w:r>
          </w:p>
        </w:tc>
      </w:tr>
    </w:tbl>
    <w:p w14:paraId="2DD294B2" w14:textId="77777777" w:rsidR="006C7562" w:rsidRDefault="006C7562" w:rsidP="00850F36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       </w:t>
      </w:r>
    </w:p>
    <w:p w14:paraId="029F2C16" w14:textId="77777777" w:rsidR="006C7562" w:rsidRDefault="006C7562" w:rsidP="00850F36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† Adjusted for maternal education, pre-pregnancy BMI, first trimester infection, smoking, alcohol use and pregnancy intention</w:t>
      </w:r>
    </w:p>
    <w:p w14:paraId="2F6AFD0B" w14:textId="77777777" w:rsidR="006C7562" w:rsidRDefault="006C7562" w:rsidP="00B9754E">
      <w:pPr>
        <w:spacing w:after="0" w:line="240" w:lineRule="auto"/>
        <w:ind w:firstLine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‡ Adjusted for maternal education, pre-pregnancy BMI, periconceptional infection, smoking and alcohol use</w:t>
      </w:r>
    </w:p>
    <w:p w14:paraId="367A598E" w14:textId="77777777" w:rsidR="006C7562" w:rsidRDefault="006C7562" w:rsidP="00B9754E">
      <w:pPr>
        <w:spacing w:after="0" w:line="240" w:lineRule="auto"/>
        <w:ind w:firstLine="270"/>
        <w:rPr>
          <w:rFonts w:ascii="Arial" w:hAnsi="Arial" w:cs="Arial"/>
          <w:sz w:val="16"/>
        </w:rPr>
      </w:pPr>
    </w:p>
    <w:p w14:paraId="0ECA5CCE" w14:textId="77777777" w:rsidR="006C7562" w:rsidRPr="00927D2B" w:rsidRDefault="006C7562" w:rsidP="00850F36">
      <w:pPr>
        <w:pStyle w:val="NoSpacing"/>
        <w:ind w:left="270"/>
        <w:rPr>
          <w:rFonts w:ascii="Arial" w:hAnsi="Arial" w:cs="Arial"/>
          <w:sz w:val="16"/>
          <w:szCs w:val="16"/>
        </w:rPr>
      </w:pPr>
      <w:r w:rsidRPr="00927D2B">
        <w:rPr>
          <w:rFonts w:ascii="Arial" w:hAnsi="Arial" w:cs="Arial"/>
          <w:sz w:val="16"/>
          <w:szCs w:val="16"/>
        </w:rPr>
        <w:t>DHFR=dihydrofolate reductase inhibitor, AED=anti-epileptic drug, N</w:t>
      </w:r>
      <w:r>
        <w:rPr>
          <w:rFonts w:ascii="Arial" w:hAnsi="Arial" w:cs="Arial"/>
          <w:sz w:val="16"/>
          <w:szCs w:val="16"/>
        </w:rPr>
        <w:t>TD</w:t>
      </w:r>
      <w:r w:rsidRPr="00927D2B">
        <w:rPr>
          <w:rFonts w:ascii="Arial" w:hAnsi="Arial" w:cs="Arial"/>
          <w:sz w:val="16"/>
          <w:szCs w:val="16"/>
        </w:rPr>
        <w:t>=</w:t>
      </w:r>
      <w:r>
        <w:rPr>
          <w:rFonts w:ascii="Arial" w:hAnsi="Arial" w:cs="Arial"/>
          <w:sz w:val="16"/>
          <w:szCs w:val="16"/>
        </w:rPr>
        <w:t>neural tube defect, VSD=ventricular septal defect, CHD=congenital heart defect</w:t>
      </w:r>
      <w:r w:rsidRPr="00927D2B">
        <w:rPr>
          <w:rFonts w:ascii="Arial" w:hAnsi="Arial" w:cs="Arial"/>
          <w:sz w:val="16"/>
          <w:szCs w:val="16"/>
        </w:rPr>
        <w:t xml:space="preserve">, periconceptional=one lunar </w:t>
      </w:r>
      <w:r>
        <w:rPr>
          <w:rFonts w:ascii="Arial" w:hAnsi="Arial" w:cs="Arial"/>
          <w:sz w:val="16"/>
          <w:szCs w:val="16"/>
        </w:rPr>
        <w:t>month pre-LMP through lunar month 1.</w:t>
      </w:r>
      <w:r w:rsidRPr="00927D2B">
        <w:rPr>
          <w:rFonts w:ascii="Arial" w:hAnsi="Arial" w:cs="Arial"/>
          <w:sz w:val="16"/>
          <w:szCs w:val="16"/>
        </w:rPr>
        <w:t xml:space="preserve"> </w:t>
      </w:r>
    </w:p>
    <w:p w14:paraId="0456F181" w14:textId="77777777" w:rsidR="006C7562" w:rsidRDefault="006C7562" w:rsidP="00850F36">
      <w:pPr>
        <w:spacing w:after="0" w:line="240" w:lineRule="auto"/>
        <w:rPr>
          <w:rFonts w:ascii="Arial" w:hAnsi="Arial" w:cs="Arial"/>
          <w:b/>
          <w:sz w:val="16"/>
        </w:rPr>
      </w:pPr>
    </w:p>
    <w:p w14:paraId="167B8ADA" w14:textId="77777777" w:rsidR="006C7562" w:rsidRDefault="006C7562" w:rsidP="00850F36">
      <w:pPr>
        <w:rPr>
          <w:b/>
        </w:rPr>
      </w:pPr>
    </w:p>
    <w:p w14:paraId="1C8A8E63" w14:textId="77777777" w:rsidR="006C7562" w:rsidRDefault="006C7562">
      <w:r>
        <w:br w:type="page"/>
      </w:r>
    </w:p>
    <w:p w14:paraId="0A85207E" w14:textId="77777777" w:rsidR="006C7562" w:rsidRDefault="006C7562" w:rsidP="005860B6">
      <w:pPr>
        <w:rPr>
          <w:b/>
        </w:rPr>
      </w:pPr>
      <w:r>
        <w:rPr>
          <w:b/>
        </w:rPr>
        <w:lastRenderedPageBreak/>
        <w:t>Supplementary Table 3.</w:t>
      </w:r>
      <w:r w:rsidRPr="002062F4">
        <w:rPr>
          <w:b/>
        </w:rPr>
        <w:t xml:space="preserve"> </w:t>
      </w:r>
      <w:r>
        <w:rPr>
          <w:b/>
        </w:rPr>
        <w:t xml:space="preserve">Anti-epileptic drug exposure - stratified by indication for use, Slone Birth Defect Study, 1998-2015 </w:t>
      </w:r>
    </w:p>
    <w:tbl>
      <w:tblPr>
        <w:tblW w:w="500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169"/>
        <w:gridCol w:w="902"/>
        <w:gridCol w:w="1260"/>
        <w:gridCol w:w="1104"/>
        <w:gridCol w:w="1434"/>
        <w:gridCol w:w="1060"/>
        <w:gridCol w:w="1257"/>
        <w:gridCol w:w="985"/>
        <w:gridCol w:w="1460"/>
      </w:tblGrid>
      <w:tr w:rsidR="006C7562" w14:paraId="660D4207" w14:textId="77777777" w:rsidTr="00B9754E">
        <w:trPr>
          <w:cantSplit/>
          <w:tblHeader/>
          <w:jc w:val="center"/>
        </w:trPr>
        <w:tc>
          <w:tcPr>
            <w:tcW w:w="89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03C41EA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AED exposure</w:t>
            </w:r>
          </w:p>
        </w:tc>
        <w:tc>
          <w:tcPr>
            <w:tcW w:w="4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2B97412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Controls</w:t>
            </w:r>
          </w:p>
        </w:tc>
        <w:tc>
          <w:tcPr>
            <w:tcW w:w="3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683A5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NTD</w:t>
            </w:r>
          </w:p>
        </w:tc>
        <w:tc>
          <w:tcPr>
            <w:tcW w:w="4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5381E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Crude OR </w:t>
            </w:r>
          </w:p>
          <w:p w14:paraId="6316B562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4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9394C50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Oral Cleft</w:t>
            </w:r>
          </w:p>
        </w:tc>
        <w:tc>
          <w:tcPr>
            <w:tcW w:w="55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317F7E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Crude OR</w:t>
            </w:r>
          </w:p>
          <w:p w14:paraId="53F4C3F0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(95% CI)</w:t>
            </w:r>
          </w:p>
        </w:tc>
        <w:tc>
          <w:tcPr>
            <w:tcW w:w="4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DACBF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Urinary</w:t>
            </w:r>
          </w:p>
        </w:tc>
        <w:tc>
          <w:tcPr>
            <w:tcW w:w="48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8FE11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Crude OR </w:t>
            </w:r>
          </w:p>
          <w:p w14:paraId="0927B48F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</w:t>
            </w:r>
          </w:p>
        </w:tc>
        <w:tc>
          <w:tcPr>
            <w:tcW w:w="3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69862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Cardiac</w:t>
            </w:r>
          </w:p>
        </w:tc>
        <w:tc>
          <w:tcPr>
            <w:tcW w:w="5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0B78D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Crude OR </w:t>
            </w:r>
          </w:p>
          <w:p w14:paraId="719E6ECA" w14:textId="77777777" w:rsidR="006C7562" w:rsidRDefault="006C7562" w:rsidP="0015475B">
            <w:pPr>
              <w:keepNext/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(95% CI)</w:t>
            </w:r>
          </w:p>
        </w:tc>
      </w:tr>
      <w:tr w:rsidR="006C7562" w14:paraId="317658C2" w14:textId="77777777" w:rsidTr="00B9754E">
        <w:trPr>
          <w:cantSplit/>
          <w:jc w:val="center"/>
        </w:trPr>
        <w:tc>
          <w:tcPr>
            <w:tcW w:w="899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5AAF01E" w14:textId="77777777" w:rsidR="006C7562" w:rsidRDefault="006C7562" w:rsidP="0015475B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Unexposed</w:t>
            </w:r>
          </w:p>
        </w:tc>
        <w:tc>
          <w:tcPr>
            <w:tcW w:w="451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9CA861E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10126 (99.3%)</w:t>
            </w:r>
          </w:p>
        </w:tc>
        <w:tc>
          <w:tcPr>
            <w:tcW w:w="348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7F0DB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(98.3%)</w:t>
            </w:r>
          </w:p>
        </w:tc>
        <w:tc>
          <w:tcPr>
            <w:tcW w:w="486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FF818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426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E4D9831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1266 (98.6%)</w:t>
            </w:r>
          </w:p>
        </w:tc>
        <w:tc>
          <w:tcPr>
            <w:tcW w:w="553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1D48A16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40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23240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2441 (98.7%)</w:t>
            </w:r>
          </w:p>
        </w:tc>
        <w:tc>
          <w:tcPr>
            <w:tcW w:w="48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EAD4D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  <w:tc>
          <w:tcPr>
            <w:tcW w:w="380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B2A9B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6036 (99.0%)</w:t>
            </w:r>
          </w:p>
        </w:tc>
        <w:tc>
          <w:tcPr>
            <w:tcW w:w="563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E48A9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</w:p>
        </w:tc>
      </w:tr>
      <w:tr w:rsidR="006C7562" w14:paraId="3724073E" w14:textId="77777777" w:rsidTr="00B9754E">
        <w:trPr>
          <w:cantSplit/>
          <w:jc w:val="center"/>
        </w:trPr>
        <w:tc>
          <w:tcPr>
            <w:tcW w:w="899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437CA64" w14:textId="77777777" w:rsidR="006C7562" w:rsidRDefault="006C7562" w:rsidP="0015475B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Any AED </w:t>
            </w:r>
          </w:p>
        </w:tc>
        <w:tc>
          <w:tcPr>
            <w:tcW w:w="451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B5C35D9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(0.5%)</w:t>
            </w:r>
          </w:p>
        </w:tc>
        <w:tc>
          <w:tcPr>
            <w:tcW w:w="348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A7F4D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(1.7%)</w:t>
            </w:r>
          </w:p>
        </w:tc>
        <w:tc>
          <w:tcPr>
            <w:tcW w:w="486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29307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 (1.5,7.5)</w:t>
            </w:r>
          </w:p>
        </w:tc>
        <w:tc>
          <w:tcPr>
            <w:tcW w:w="426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40F364F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(1.2%)</w:t>
            </w:r>
          </w:p>
        </w:tc>
        <w:tc>
          <w:tcPr>
            <w:tcW w:w="553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6A3221B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 (1.3,4.0)</w:t>
            </w:r>
          </w:p>
        </w:tc>
        <w:tc>
          <w:tcPr>
            <w:tcW w:w="40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0427F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(0.9%)</w:t>
            </w:r>
          </w:p>
        </w:tc>
        <w:tc>
          <w:tcPr>
            <w:tcW w:w="48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3D010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 (1.0,2.7)</w:t>
            </w:r>
          </w:p>
        </w:tc>
        <w:tc>
          <w:tcPr>
            <w:tcW w:w="380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1CC0E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(0.8%)</w:t>
            </w:r>
          </w:p>
        </w:tc>
        <w:tc>
          <w:tcPr>
            <w:tcW w:w="563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E118C" w14:textId="77777777" w:rsidR="006C7562" w:rsidRDefault="006C7562" w:rsidP="0015475B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 (1.1,2.3)</w:t>
            </w:r>
          </w:p>
        </w:tc>
      </w:tr>
      <w:tr w:rsidR="006C7562" w14:paraId="57DF62B3" w14:textId="77777777" w:rsidTr="00B9754E">
        <w:trPr>
          <w:cantSplit/>
          <w:jc w:val="center"/>
        </w:trPr>
        <w:tc>
          <w:tcPr>
            <w:tcW w:w="899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7C36B820" w14:textId="77777777" w:rsidR="006C7562" w:rsidRPr="00122196" w:rsidRDefault="006C7562" w:rsidP="0015475B">
            <w:pPr>
              <w:ind w:firstLine="4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Epilepsy indication</w:t>
            </w:r>
          </w:p>
        </w:tc>
        <w:tc>
          <w:tcPr>
            <w:tcW w:w="451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A42A553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(0.3%)</w:t>
            </w:r>
          </w:p>
        </w:tc>
        <w:tc>
          <w:tcPr>
            <w:tcW w:w="348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D4B2D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(1.0%)</w:t>
            </w:r>
          </w:p>
        </w:tc>
        <w:tc>
          <w:tcPr>
            <w:tcW w:w="486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9D802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 (1.0,11.0)</w:t>
            </w:r>
          </w:p>
        </w:tc>
        <w:tc>
          <w:tcPr>
            <w:tcW w:w="426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170BCB0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(0.5%)</w:t>
            </w:r>
          </w:p>
        </w:tc>
        <w:tc>
          <w:tcPr>
            <w:tcW w:w="553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D037E5B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 (0.9,4.8)</w:t>
            </w:r>
          </w:p>
        </w:tc>
        <w:tc>
          <w:tcPr>
            <w:tcW w:w="40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361C5" w14:textId="77777777" w:rsidR="006C7562" w:rsidRDefault="006C7562" w:rsidP="0015475B">
            <w:pPr>
              <w:adjustRightInd w:val="0"/>
              <w:spacing w:before="29" w:after="29"/>
              <w:ind w:firstLine="19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(0.4%)</w:t>
            </w:r>
          </w:p>
        </w:tc>
        <w:tc>
          <w:tcPr>
            <w:tcW w:w="48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A8E06" w14:textId="77777777" w:rsidR="006C7562" w:rsidRDefault="006C7562" w:rsidP="0015475B">
            <w:pPr>
              <w:adjustRightInd w:val="0"/>
              <w:spacing w:before="29" w:after="29"/>
              <w:ind w:firstLine="19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 (0.6,2.9)</w:t>
            </w:r>
          </w:p>
        </w:tc>
        <w:tc>
          <w:tcPr>
            <w:tcW w:w="380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72C4A" w14:textId="77777777" w:rsidR="006C7562" w:rsidRDefault="006C7562" w:rsidP="0015475B">
            <w:pPr>
              <w:adjustRightInd w:val="0"/>
              <w:spacing w:before="29" w:after="29"/>
              <w:ind w:firstLine="1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(0.4%)</w:t>
            </w:r>
          </w:p>
        </w:tc>
        <w:tc>
          <w:tcPr>
            <w:tcW w:w="563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AB786" w14:textId="77777777" w:rsidR="006C7562" w:rsidRDefault="006C7562" w:rsidP="0015475B">
            <w:pPr>
              <w:adjustRightInd w:val="0"/>
              <w:spacing w:before="29" w:after="29"/>
              <w:ind w:firstLine="1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 (0.8,2.4)</w:t>
            </w:r>
          </w:p>
        </w:tc>
      </w:tr>
      <w:tr w:rsidR="006C7562" w14:paraId="2AB8FAB4" w14:textId="77777777" w:rsidTr="00B9754E">
        <w:trPr>
          <w:cantSplit/>
          <w:jc w:val="center"/>
        </w:trPr>
        <w:tc>
          <w:tcPr>
            <w:tcW w:w="899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2FDA50C2" w14:textId="77777777" w:rsidR="006C7562" w:rsidRPr="00122196" w:rsidRDefault="006C7562" w:rsidP="0015475B">
            <w:pPr>
              <w:ind w:firstLine="4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Non-Epilepsy indication</w:t>
            </w:r>
          </w:p>
        </w:tc>
        <w:tc>
          <w:tcPr>
            <w:tcW w:w="451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6558F33F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(0.3%)</w:t>
            </w:r>
          </w:p>
        </w:tc>
        <w:tc>
          <w:tcPr>
            <w:tcW w:w="348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8B0C0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(0.7%)</w:t>
            </w:r>
          </w:p>
        </w:tc>
        <w:tc>
          <w:tcPr>
            <w:tcW w:w="486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168B3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 (0.6,9.7)</w:t>
            </w:r>
          </w:p>
        </w:tc>
        <w:tc>
          <w:tcPr>
            <w:tcW w:w="426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09BA88A7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(0.6%)</w:t>
            </w:r>
          </w:p>
        </w:tc>
        <w:tc>
          <w:tcPr>
            <w:tcW w:w="553" w:type="pc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left w:w="29" w:type="dxa"/>
              <w:right w:w="29" w:type="dxa"/>
            </w:tcMar>
          </w:tcPr>
          <w:p w14:paraId="5419182D" w14:textId="77777777" w:rsidR="006C7562" w:rsidRDefault="006C7562" w:rsidP="0015475B">
            <w:pPr>
              <w:adjustRightInd w:val="0"/>
              <w:spacing w:before="29" w:after="29"/>
              <w:ind w:firstLine="2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 (1.1,5.4)</w:t>
            </w:r>
          </w:p>
        </w:tc>
        <w:tc>
          <w:tcPr>
            <w:tcW w:w="40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16850" w14:textId="77777777" w:rsidR="006C7562" w:rsidRDefault="006C7562" w:rsidP="0015475B">
            <w:pPr>
              <w:adjustRightInd w:val="0"/>
              <w:spacing w:before="29" w:after="29"/>
              <w:ind w:firstLine="19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(0.5%)</w:t>
            </w:r>
          </w:p>
        </w:tc>
        <w:tc>
          <w:tcPr>
            <w:tcW w:w="48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BA977" w14:textId="77777777" w:rsidR="006C7562" w:rsidRDefault="006C7562" w:rsidP="0015475B">
            <w:pPr>
              <w:adjustRightInd w:val="0"/>
              <w:spacing w:before="29" w:after="29"/>
              <w:ind w:firstLine="19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 (1.0,3.8)</w:t>
            </w:r>
          </w:p>
        </w:tc>
        <w:tc>
          <w:tcPr>
            <w:tcW w:w="380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1235B" w14:textId="77777777" w:rsidR="006C7562" w:rsidRDefault="006C7562" w:rsidP="0015475B">
            <w:pPr>
              <w:adjustRightInd w:val="0"/>
              <w:spacing w:before="29" w:after="29"/>
              <w:ind w:firstLine="1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(0.4%)</w:t>
            </w:r>
          </w:p>
        </w:tc>
        <w:tc>
          <w:tcPr>
            <w:tcW w:w="563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62DD4" w14:textId="77777777" w:rsidR="006C7562" w:rsidRDefault="006C7562" w:rsidP="0015475B">
            <w:pPr>
              <w:adjustRightInd w:val="0"/>
              <w:spacing w:before="29" w:after="29"/>
              <w:ind w:firstLine="1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 (1.0,3.0)</w:t>
            </w:r>
          </w:p>
        </w:tc>
      </w:tr>
    </w:tbl>
    <w:p w14:paraId="15769952" w14:textId="77777777" w:rsidR="006C7562" w:rsidRDefault="006C7562"/>
    <w:p w14:paraId="01E48EAC" w14:textId="77777777" w:rsidR="006C7562" w:rsidRDefault="006C7562"/>
    <w:p w14:paraId="5F42B5D8" w14:textId="77777777" w:rsidR="0053767E" w:rsidRPr="00B9101E" w:rsidRDefault="0053767E" w:rsidP="00B9101E"/>
    <w:sectPr w:rsidR="0053767E" w:rsidRPr="00B9101E" w:rsidSect="003A2F4C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9F2B" w14:textId="77777777" w:rsidR="002F23E7" w:rsidRDefault="002F23E7" w:rsidP="00DF06AE">
      <w:pPr>
        <w:spacing w:after="0" w:line="240" w:lineRule="auto"/>
      </w:pPr>
      <w:r>
        <w:separator/>
      </w:r>
    </w:p>
  </w:endnote>
  <w:endnote w:type="continuationSeparator" w:id="0">
    <w:p w14:paraId="2D0D46B5" w14:textId="77777777" w:rsidR="002F23E7" w:rsidRDefault="002F23E7" w:rsidP="00DF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67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64434" w14:textId="77777777" w:rsidR="006C7562" w:rsidRDefault="006C75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A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32ACD" w14:textId="77777777" w:rsidR="006C7562" w:rsidRDefault="006C7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451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5F5A1" w14:textId="6E02AB33" w:rsidR="003274E2" w:rsidRDefault="003274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A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8CFD33" w14:textId="77777777" w:rsidR="003274E2" w:rsidRDefault="0032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FB04" w14:textId="77777777" w:rsidR="002F23E7" w:rsidRDefault="002F23E7" w:rsidP="00DF06AE">
      <w:pPr>
        <w:spacing w:after="0" w:line="240" w:lineRule="auto"/>
      </w:pPr>
      <w:r>
        <w:separator/>
      </w:r>
    </w:p>
  </w:footnote>
  <w:footnote w:type="continuationSeparator" w:id="0">
    <w:p w14:paraId="6B826C5E" w14:textId="77777777" w:rsidR="002F23E7" w:rsidRDefault="002F23E7" w:rsidP="00DF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2193"/>
    <w:multiLevelType w:val="hybridMultilevel"/>
    <w:tmpl w:val="9CFE5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6226BE"/>
    <w:multiLevelType w:val="hybridMultilevel"/>
    <w:tmpl w:val="235CC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36D6"/>
    <w:multiLevelType w:val="hybridMultilevel"/>
    <w:tmpl w:val="7C46F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C1051"/>
    <w:multiLevelType w:val="hybridMultilevel"/>
    <w:tmpl w:val="64B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3812">
    <w:abstractNumId w:val="0"/>
  </w:num>
  <w:num w:numId="2" w16cid:durableId="1297377077">
    <w:abstractNumId w:val="1"/>
  </w:num>
  <w:num w:numId="3" w16cid:durableId="1831171105">
    <w:abstractNumId w:val="3"/>
  </w:num>
  <w:num w:numId="4" w16cid:durableId="1142235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azt5tx3ffd21exfs4p2e5hp0ssevfdetpr&quot;&gt;Microcephaly EndNote Library-Converted&lt;record-ids&gt;&lt;item&gt;27&lt;/item&gt;&lt;item&gt;28&lt;/item&gt;&lt;item&gt;29&lt;/item&gt;&lt;item&gt;35&lt;/item&gt;&lt;item&gt;37&lt;/item&gt;&lt;item&gt;40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100&lt;/item&gt;&lt;item&gt;101&lt;/item&gt;&lt;item&gt;104&lt;/item&gt;&lt;item&gt;105&lt;/item&gt;&lt;item&gt;106&lt;/item&gt;&lt;item&gt;107&lt;/item&gt;&lt;item&gt;108&lt;/item&gt;&lt;item&gt;109&lt;/item&gt;&lt;item&gt;110&lt;/item&gt;&lt;item&gt;113&lt;/item&gt;&lt;item&gt;114&lt;/item&gt;&lt;item&gt;115&lt;/item&gt;&lt;item&gt;116&lt;/item&gt;&lt;item&gt;117&lt;/item&gt;&lt;item&gt;118&lt;/item&gt;&lt;item&gt;120&lt;/item&gt;&lt;item&gt;126&lt;/item&gt;&lt;item&gt;127&lt;/item&gt;&lt;item&gt;128&lt;/item&gt;&lt;item&gt;130&lt;/item&gt;&lt;item&gt;131&lt;/item&gt;&lt;item&gt;133&lt;/item&gt;&lt;item&gt;134&lt;/item&gt;&lt;item&gt;135&lt;/item&gt;&lt;/record-ids&gt;&lt;/item&gt;&lt;/Libraries&gt;"/>
    <w:docVar w:name="Total_Editing_Time" w:val="6"/>
  </w:docVars>
  <w:rsids>
    <w:rsidRoot w:val="008C065B"/>
    <w:rsid w:val="000003F6"/>
    <w:rsid w:val="0000107E"/>
    <w:rsid w:val="0000126E"/>
    <w:rsid w:val="0000319E"/>
    <w:rsid w:val="00013C72"/>
    <w:rsid w:val="00017D52"/>
    <w:rsid w:val="0002200F"/>
    <w:rsid w:val="00023394"/>
    <w:rsid w:val="00024AD6"/>
    <w:rsid w:val="000250A3"/>
    <w:rsid w:val="00035F75"/>
    <w:rsid w:val="00036C97"/>
    <w:rsid w:val="00044F8C"/>
    <w:rsid w:val="00050555"/>
    <w:rsid w:val="0005175D"/>
    <w:rsid w:val="0005281A"/>
    <w:rsid w:val="0006202C"/>
    <w:rsid w:val="0006631E"/>
    <w:rsid w:val="00066E73"/>
    <w:rsid w:val="0006786E"/>
    <w:rsid w:val="00076F22"/>
    <w:rsid w:val="00083824"/>
    <w:rsid w:val="00091C86"/>
    <w:rsid w:val="00092272"/>
    <w:rsid w:val="00093F16"/>
    <w:rsid w:val="000971C7"/>
    <w:rsid w:val="000A2901"/>
    <w:rsid w:val="000B1E40"/>
    <w:rsid w:val="000B4CDD"/>
    <w:rsid w:val="000D1E0D"/>
    <w:rsid w:val="000D2238"/>
    <w:rsid w:val="000D5B39"/>
    <w:rsid w:val="000E1959"/>
    <w:rsid w:val="000E5229"/>
    <w:rsid w:val="00101DEF"/>
    <w:rsid w:val="00106520"/>
    <w:rsid w:val="00106C04"/>
    <w:rsid w:val="001072D3"/>
    <w:rsid w:val="0011005A"/>
    <w:rsid w:val="0011054C"/>
    <w:rsid w:val="00113CF2"/>
    <w:rsid w:val="001146A8"/>
    <w:rsid w:val="00115F59"/>
    <w:rsid w:val="00122196"/>
    <w:rsid w:val="00127FE1"/>
    <w:rsid w:val="00133406"/>
    <w:rsid w:val="00134975"/>
    <w:rsid w:val="00135049"/>
    <w:rsid w:val="0013506B"/>
    <w:rsid w:val="00135180"/>
    <w:rsid w:val="001363DE"/>
    <w:rsid w:val="0013708B"/>
    <w:rsid w:val="00143798"/>
    <w:rsid w:val="00144D5B"/>
    <w:rsid w:val="00151BC3"/>
    <w:rsid w:val="00152496"/>
    <w:rsid w:val="00155CEC"/>
    <w:rsid w:val="001568DF"/>
    <w:rsid w:val="0016297D"/>
    <w:rsid w:val="001655FA"/>
    <w:rsid w:val="00170827"/>
    <w:rsid w:val="0017754F"/>
    <w:rsid w:val="001802EC"/>
    <w:rsid w:val="0018360E"/>
    <w:rsid w:val="00185169"/>
    <w:rsid w:val="001852F1"/>
    <w:rsid w:val="0018658C"/>
    <w:rsid w:val="001865F9"/>
    <w:rsid w:val="00187AA1"/>
    <w:rsid w:val="00187DD7"/>
    <w:rsid w:val="00191014"/>
    <w:rsid w:val="00192050"/>
    <w:rsid w:val="001975DB"/>
    <w:rsid w:val="001A5951"/>
    <w:rsid w:val="001A7290"/>
    <w:rsid w:val="001C3208"/>
    <w:rsid w:val="001C3F66"/>
    <w:rsid w:val="001C79B7"/>
    <w:rsid w:val="001D16FE"/>
    <w:rsid w:val="001D1C34"/>
    <w:rsid w:val="001D49FD"/>
    <w:rsid w:val="001E1536"/>
    <w:rsid w:val="001E1C24"/>
    <w:rsid w:val="001E45C9"/>
    <w:rsid w:val="001F32E9"/>
    <w:rsid w:val="001F607A"/>
    <w:rsid w:val="001F726E"/>
    <w:rsid w:val="00200E2A"/>
    <w:rsid w:val="002062F4"/>
    <w:rsid w:val="00215497"/>
    <w:rsid w:val="00216A4D"/>
    <w:rsid w:val="0021750C"/>
    <w:rsid w:val="00217A45"/>
    <w:rsid w:val="002220B4"/>
    <w:rsid w:val="0022214E"/>
    <w:rsid w:val="002275AA"/>
    <w:rsid w:val="0023184B"/>
    <w:rsid w:val="00231C6F"/>
    <w:rsid w:val="00231D1C"/>
    <w:rsid w:val="002351CB"/>
    <w:rsid w:val="00240654"/>
    <w:rsid w:val="00243B2D"/>
    <w:rsid w:val="002459E0"/>
    <w:rsid w:val="002525BD"/>
    <w:rsid w:val="00252EC4"/>
    <w:rsid w:val="002541E2"/>
    <w:rsid w:val="00254D1A"/>
    <w:rsid w:val="00264B5A"/>
    <w:rsid w:val="0026764D"/>
    <w:rsid w:val="002709E0"/>
    <w:rsid w:val="00273D99"/>
    <w:rsid w:val="002751B5"/>
    <w:rsid w:val="0027736D"/>
    <w:rsid w:val="00293A9C"/>
    <w:rsid w:val="00293D33"/>
    <w:rsid w:val="00294A60"/>
    <w:rsid w:val="0029743C"/>
    <w:rsid w:val="002A1AAD"/>
    <w:rsid w:val="002A2782"/>
    <w:rsid w:val="002A3605"/>
    <w:rsid w:val="002A704F"/>
    <w:rsid w:val="002A7B86"/>
    <w:rsid w:val="002B1B2E"/>
    <w:rsid w:val="002B2DF0"/>
    <w:rsid w:val="002B3A11"/>
    <w:rsid w:val="002B3DBE"/>
    <w:rsid w:val="002B416D"/>
    <w:rsid w:val="002B43A6"/>
    <w:rsid w:val="002C295D"/>
    <w:rsid w:val="002C4964"/>
    <w:rsid w:val="002D023A"/>
    <w:rsid w:val="002D705E"/>
    <w:rsid w:val="002D7F8E"/>
    <w:rsid w:val="002E1F2A"/>
    <w:rsid w:val="002F23E7"/>
    <w:rsid w:val="00312780"/>
    <w:rsid w:val="003129FD"/>
    <w:rsid w:val="003274E2"/>
    <w:rsid w:val="00332C4D"/>
    <w:rsid w:val="00336D54"/>
    <w:rsid w:val="003379E5"/>
    <w:rsid w:val="00340BCD"/>
    <w:rsid w:val="00346609"/>
    <w:rsid w:val="003469C6"/>
    <w:rsid w:val="00350E1B"/>
    <w:rsid w:val="0035348E"/>
    <w:rsid w:val="00354911"/>
    <w:rsid w:val="00354C97"/>
    <w:rsid w:val="00361C39"/>
    <w:rsid w:val="00363237"/>
    <w:rsid w:val="00365C6E"/>
    <w:rsid w:val="003733E0"/>
    <w:rsid w:val="00373567"/>
    <w:rsid w:val="00380D3E"/>
    <w:rsid w:val="003818A8"/>
    <w:rsid w:val="003824E6"/>
    <w:rsid w:val="00384823"/>
    <w:rsid w:val="00386E37"/>
    <w:rsid w:val="00392481"/>
    <w:rsid w:val="00394819"/>
    <w:rsid w:val="003A1C90"/>
    <w:rsid w:val="003A1FC1"/>
    <w:rsid w:val="003A2140"/>
    <w:rsid w:val="003A26B4"/>
    <w:rsid w:val="003A2F4C"/>
    <w:rsid w:val="003A7DCF"/>
    <w:rsid w:val="003A7EB2"/>
    <w:rsid w:val="003B0048"/>
    <w:rsid w:val="003B33E8"/>
    <w:rsid w:val="003C3E5B"/>
    <w:rsid w:val="003C7061"/>
    <w:rsid w:val="003D0C40"/>
    <w:rsid w:val="003D1800"/>
    <w:rsid w:val="003D1909"/>
    <w:rsid w:val="003E148F"/>
    <w:rsid w:val="003E38A2"/>
    <w:rsid w:val="003E39BB"/>
    <w:rsid w:val="003E3F43"/>
    <w:rsid w:val="003E6262"/>
    <w:rsid w:val="003F5B11"/>
    <w:rsid w:val="003F6C39"/>
    <w:rsid w:val="003F7F39"/>
    <w:rsid w:val="004109BC"/>
    <w:rsid w:val="004117EA"/>
    <w:rsid w:val="00411CD4"/>
    <w:rsid w:val="00414442"/>
    <w:rsid w:val="00415DFA"/>
    <w:rsid w:val="00420262"/>
    <w:rsid w:val="00435DA5"/>
    <w:rsid w:val="004378C3"/>
    <w:rsid w:val="0044309D"/>
    <w:rsid w:val="004471AC"/>
    <w:rsid w:val="0045039B"/>
    <w:rsid w:val="00454084"/>
    <w:rsid w:val="00456794"/>
    <w:rsid w:val="00457EDE"/>
    <w:rsid w:val="0046669B"/>
    <w:rsid w:val="004708BC"/>
    <w:rsid w:val="00476F72"/>
    <w:rsid w:val="00477D4C"/>
    <w:rsid w:val="00483361"/>
    <w:rsid w:val="00484AFF"/>
    <w:rsid w:val="00485A1C"/>
    <w:rsid w:val="004905DB"/>
    <w:rsid w:val="004921E4"/>
    <w:rsid w:val="00495C12"/>
    <w:rsid w:val="004A27ED"/>
    <w:rsid w:val="004A319F"/>
    <w:rsid w:val="004A70B8"/>
    <w:rsid w:val="004A7BB2"/>
    <w:rsid w:val="004B1534"/>
    <w:rsid w:val="004B3335"/>
    <w:rsid w:val="004B366D"/>
    <w:rsid w:val="004B4624"/>
    <w:rsid w:val="004B4E13"/>
    <w:rsid w:val="004B5668"/>
    <w:rsid w:val="004C04CE"/>
    <w:rsid w:val="004C6A27"/>
    <w:rsid w:val="004D1984"/>
    <w:rsid w:val="004E21D9"/>
    <w:rsid w:val="004F2FBF"/>
    <w:rsid w:val="004F40FE"/>
    <w:rsid w:val="004F653D"/>
    <w:rsid w:val="00506BD5"/>
    <w:rsid w:val="005079D7"/>
    <w:rsid w:val="005103F8"/>
    <w:rsid w:val="00512F6D"/>
    <w:rsid w:val="005134FA"/>
    <w:rsid w:val="0052025E"/>
    <w:rsid w:val="00524D25"/>
    <w:rsid w:val="005254F6"/>
    <w:rsid w:val="00527A8C"/>
    <w:rsid w:val="00532EDD"/>
    <w:rsid w:val="00533E65"/>
    <w:rsid w:val="00535915"/>
    <w:rsid w:val="00535C8B"/>
    <w:rsid w:val="0053767E"/>
    <w:rsid w:val="00542949"/>
    <w:rsid w:val="00546EC0"/>
    <w:rsid w:val="0055250F"/>
    <w:rsid w:val="00554C6D"/>
    <w:rsid w:val="00554F37"/>
    <w:rsid w:val="00560462"/>
    <w:rsid w:val="0056343B"/>
    <w:rsid w:val="00566106"/>
    <w:rsid w:val="0056643F"/>
    <w:rsid w:val="00572C38"/>
    <w:rsid w:val="00580378"/>
    <w:rsid w:val="005823F1"/>
    <w:rsid w:val="00587AE2"/>
    <w:rsid w:val="00593E35"/>
    <w:rsid w:val="005941E1"/>
    <w:rsid w:val="005967AC"/>
    <w:rsid w:val="005976A3"/>
    <w:rsid w:val="00597BD4"/>
    <w:rsid w:val="005A3758"/>
    <w:rsid w:val="005B4C7D"/>
    <w:rsid w:val="005C3402"/>
    <w:rsid w:val="005C4420"/>
    <w:rsid w:val="005D03B5"/>
    <w:rsid w:val="005D1749"/>
    <w:rsid w:val="005D5CC5"/>
    <w:rsid w:val="005E0246"/>
    <w:rsid w:val="005E02CA"/>
    <w:rsid w:val="005E1B2A"/>
    <w:rsid w:val="005E33BA"/>
    <w:rsid w:val="005E5E5F"/>
    <w:rsid w:val="005E6B1B"/>
    <w:rsid w:val="005E7D08"/>
    <w:rsid w:val="005F2ABC"/>
    <w:rsid w:val="005F51E9"/>
    <w:rsid w:val="005F7FEB"/>
    <w:rsid w:val="00602577"/>
    <w:rsid w:val="00603521"/>
    <w:rsid w:val="0060549D"/>
    <w:rsid w:val="00610284"/>
    <w:rsid w:val="00615489"/>
    <w:rsid w:val="0062550C"/>
    <w:rsid w:val="00633D33"/>
    <w:rsid w:val="00635B54"/>
    <w:rsid w:val="0064403E"/>
    <w:rsid w:val="00645D15"/>
    <w:rsid w:val="00650286"/>
    <w:rsid w:val="006524B7"/>
    <w:rsid w:val="00652B36"/>
    <w:rsid w:val="00671107"/>
    <w:rsid w:val="00671664"/>
    <w:rsid w:val="0067420B"/>
    <w:rsid w:val="00686E89"/>
    <w:rsid w:val="00690CE3"/>
    <w:rsid w:val="00694303"/>
    <w:rsid w:val="006944EA"/>
    <w:rsid w:val="006A0C69"/>
    <w:rsid w:val="006A2251"/>
    <w:rsid w:val="006A4661"/>
    <w:rsid w:val="006A59A1"/>
    <w:rsid w:val="006B5D69"/>
    <w:rsid w:val="006C0618"/>
    <w:rsid w:val="006C0B2C"/>
    <w:rsid w:val="006C3ABC"/>
    <w:rsid w:val="006C7562"/>
    <w:rsid w:val="006C764E"/>
    <w:rsid w:val="006D13E0"/>
    <w:rsid w:val="006D30FC"/>
    <w:rsid w:val="006D7290"/>
    <w:rsid w:val="006D7B50"/>
    <w:rsid w:val="006E743E"/>
    <w:rsid w:val="006F52CF"/>
    <w:rsid w:val="00706D28"/>
    <w:rsid w:val="00711D8B"/>
    <w:rsid w:val="00712B62"/>
    <w:rsid w:val="00716D5F"/>
    <w:rsid w:val="0071737A"/>
    <w:rsid w:val="007258B1"/>
    <w:rsid w:val="00727155"/>
    <w:rsid w:val="00727A8E"/>
    <w:rsid w:val="00730077"/>
    <w:rsid w:val="00732753"/>
    <w:rsid w:val="00732DA5"/>
    <w:rsid w:val="00741134"/>
    <w:rsid w:val="00744B0C"/>
    <w:rsid w:val="0074502F"/>
    <w:rsid w:val="007457BC"/>
    <w:rsid w:val="0075138B"/>
    <w:rsid w:val="00752EF4"/>
    <w:rsid w:val="00753B64"/>
    <w:rsid w:val="00763489"/>
    <w:rsid w:val="0077623E"/>
    <w:rsid w:val="007845C3"/>
    <w:rsid w:val="00791707"/>
    <w:rsid w:val="007A51E6"/>
    <w:rsid w:val="007A7A29"/>
    <w:rsid w:val="007B60E6"/>
    <w:rsid w:val="007B792F"/>
    <w:rsid w:val="007D0537"/>
    <w:rsid w:val="007D1289"/>
    <w:rsid w:val="007D2AA6"/>
    <w:rsid w:val="007F4513"/>
    <w:rsid w:val="00800938"/>
    <w:rsid w:val="00804506"/>
    <w:rsid w:val="00813560"/>
    <w:rsid w:val="0082000D"/>
    <w:rsid w:val="008210DB"/>
    <w:rsid w:val="00821C47"/>
    <w:rsid w:val="00824F06"/>
    <w:rsid w:val="008269B5"/>
    <w:rsid w:val="0083004A"/>
    <w:rsid w:val="008435CB"/>
    <w:rsid w:val="00844E93"/>
    <w:rsid w:val="00845FB2"/>
    <w:rsid w:val="0084781D"/>
    <w:rsid w:val="00854554"/>
    <w:rsid w:val="0086076B"/>
    <w:rsid w:val="00866817"/>
    <w:rsid w:val="0086708C"/>
    <w:rsid w:val="00871BAA"/>
    <w:rsid w:val="00874C06"/>
    <w:rsid w:val="00887352"/>
    <w:rsid w:val="00887B4C"/>
    <w:rsid w:val="00894F68"/>
    <w:rsid w:val="008A0208"/>
    <w:rsid w:val="008A77A0"/>
    <w:rsid w:val="008B14CC"/>
    <w:rsid w:val="008B16C3"/>
    <w:rsid w:val="008B3779"/>
    <w:rsid w:val="008B5AFB"/>
    <w:rsid w:val="008B693C"/>
    <w:rsid w:val="008B71D2"/>
    <w:rsid w:val="008C065B"/>
    <w:rsid w:val="008C542E"/>
    <w:rsid w:val="008C72D6"/>
    <w:rsid w:val="008E0121"/>
    <w:rsid w:val="008E0A51"/>
    <w:rsid w:val="008F1FA3"/>
    <w:rsid w:val="008F230E"/>
    <w:rsid w:val="008F7A17"/>
    <w:rsid w:val="00902F9C"/>
    <w:rsid w:val="00906286"/>
    <w:rsid w:val="00911F95"/>
    <w:rsid w:val="00913EEB"/>
    <w:rsid w:val="00920D7B"/>
    <w:rsid w:val="00925DCF"/>
    <w:rsid w:val="00927D2B"/>
    <w:rsid w:val="00934462"/>
    <w:rsid w:val="009344DE"/>
    <w:rsid w:val="00936C6F"/>
    <w:rsid w:val="00942C9B"/>
    <w:rsid w:val="00944006"/>
    <w:rsid w:val="00951234"/>
    <w:rsid w:val="00952078"/>
    <w:rsid w:val="009537E3"/>
    <w:rsid w:val="00953A5E"/>
    <w:rsid w:val="00954F04"/>
    <w:rsid w:val="00957B5F"/>
    <w:rsid w:val="009657D3"/>
    <w:rsid w:val="00973D47"/>
    <w:rsid w:val="009747AC"/>
    <w:rsid w:val="009751A1"/>
    <w:rsid w:val="009820C7"/>
    <w:rsid w:val="00984E0F"/>
    <w:rsid w:val="00993474"/>
    <w:rsid w:val="009944BD"/>
    <w:rsid w:val="009A6083"/>
    <w:rsid w:val="009B7492"/>
    <w:rsid w:val="009C0F18"/>
    <w:rsid w:val="009C2048"/>
    <w:rsid w:val="009C3546"/>
    <w:rsid w:val="009F11F0"/>
    <w:rsid w:val="009F634F"/>
    <w:rsid w:val="00A0023F"/>
    <w:rsid w:val="00A11CD9"/>
    <w:rsid w:val="00A255EC"/>
    <w:rsid w:val="00A27228"/>
    <w:rsid w:val="00A272A4"/>
    <w:rsid w:val="00A31E20"/>
    <w:rsid w:val="00A3217B"/>
    <w:rsid w:val="00A34D36"/>
    <w:rsid w:val="00A44D43"/>
    <w:rsid w:val="00A46D02"/>
    <w:rsid w:val="00A47B6D"/>
    <w:rsid w:val="00A56C8C"/>
    <w:rsid w:val="00A57CA0"/>
    <w:rsid w:val="00A64AA2"/>
    <w:rsid w:val="00A64CA9"/>
    <w:rsid w:val="00A66B86"/>
    <w:rsid w:val="00A70C67"/>
    <w:rsid w:val="00A7296E"/>
    <w:rsid w:val="00A868CD"/>
    <w:rsid w:val="00A95CF6"/>
    <w:rsid w:val="00AA6AA0"/>
    <w:rsid w:val="00AB017F"/>
    <w:rsid w:val="00AB3E2C"/>
    <w:rsid w:val="00AC2458"/>
    <w:rsid w:val="00AC2960"/>
    <w:rsid w:val="00AC40CA"/>
    <w:rsid w:val="00AD370B"/>
    <w:rsid w:val="00AD79E7"/>
    <w:rsid w:val="00AF0736"/>
    <w:rsid w:val="00AF3611"/>
    <w:rsid w:val="00AF73EE"/>
    <w:rsid w:val="00B0168C"/>
    <w:rsid w:val="00B02424"/>
    <w:rsid w:val="00B036A8"/>
    <w:rsid w:val="00B04534"/>
    <w:rsid w:val="00B07E92"/>
    <w:rsid w:val="00B1449B"/>
    <w:rsid w:val="00B247EC"/>
    <w:rsid w:val="00B2523A"/>
    <w:rsid w:val="00B32F1A"/>
    <w:rsid w:val="00B35CBD"/>
    <w:rsid w:val="00B36816"/>
    <w:rsid w:val="00B510C9"/>
    <w:rsid w:val="00B51991"/>
    <w:rsid w:val="00B53958"/>
    <w:rsid w:val="00B54AD6"/>
    <w:rsid w:val="00B6583E"/>
    <w:rsid w:val="00B7278A"/>
    <w:rsid w:val="00B73506"/>
    <w:rsid w:val="00B74319"/>
    <w:rsid w:val="00B75670"/>
    <w:rsid w:val="00B8002B"/>
    <w:rsid w:val="00B81CA3"/>
    <w:rsid w:val="00B9101E"/>
    <w:rsid w:val="00B95152"/>
    <w:rsid w:val="00B9603F"/>
    <w:rsid w:val="00BA59F7"/>
    <w:rsid w:val="00BB3C67"/>
    <w:rsid w:val="00BB5E1A"/>
    <w:rsid w:val="00BB6DCD"/>
    <w:rsid w:val="00BC19A5"/>
    <w:rsid w:val="00BC5A72"/>
    <w:rsid w:val="00BD62F9"/>
    <w:rsid w:val="00BE3938"/>
    <w:rsid w:val="00BF529F"/>
    <w:rsid w:val="00BF61B6"/>
    <w:rsid w:val="00C018F5"/>
    <w:rsid w:val="00C0584A"/>
    <w:rsid w:val="00C14ACF"/>
    <w:rsid w:val="00C17622"/>
    <w:rsid w:val="00C229A6"/>
    <w:rsid w:val="00C241DE"/>
    <w:rsid w:val="00C33AA4"/>
    <w:rsid w:val="00C35D13"/>
    <w:rsid w:val="00C53485"/>
    <w:rsid w:val="00C53B9D"/>
    <w:rsid w:val="00C559A4"/>
    <w:rsid w:val="00C576C8"/>
    <w:rsid w:val="00C60CFE"/>
    <w:rsid w:val="00C70791"/>
    <w:rsid w:val="00C73B29"/>
    <w:rsid w:val="00C82941"/>
    <w:rsid w:val="00C84AF8"/>
    <w:rsid w:val="00C85E18"/>
    <w:rsid w:val="00C918F3"/>
    <w:rsid w:val="00CA2139"/>
    <w:rsid w:val="00CA2C9D"/>
    <w:rsid w:val="00CA515A"/>
    <w:rsid w:val="00CB1F40"/>
    <w:rsid w:val="00CB381A"/>
    <w:rsid w:val="00CB4286"/>
    <w:rsid w:val="00CB62A1"/>
    <w:rsid w:val="00CC2A7F"/>
    <w:rsid w:val="00CC2D9F"/>
    <w:rsid w:val="00CC3648"/>
    <w:rsid w:val="00CD3EA8"/>
    <w:rsid w:val="00CF53C6"/>
    <w:rsid w:val="00D032BE"/>
    <w:rsid w:val="00D03B0C"/>
    <w:rsid w:val="00D05493"/>
    <w:rsid w:val="00D0579F"/>
    <w:rsid w:val="00D063C0"/>
    <w:rsid w:val="00D23B1C"/>
    <w:rsid w:val="00D24CB6"/>
    <w:rsid w:val="00D3039F"/>
    <w:rsid w:val="00D31A55"/>
    <w:rsid w:val="00D31DCD"/>
    <w:rsid w:val="00D35DAF"/>
    <w:rsid w:val="00D40466"/>
    <w:rsid w:val="00D41C33"/>
    <w:rsid w:val="00D44A7F"/>
    <w:rsid w:val="00D523DD"/>
    <w:rsid w:val="00D52B83"/>
    <w:rsid w:val="00D55AA8"/>
    <w:rsid w:val="00D60512"/>
    <w:rsid w:val="00D61A85"/>
    <w:rsid w:val="00D67BC7"/>
    <w:rsid w:val="00D72468"/>
    <w:rsid w:val="00D76DD4"/>
    <w:rsid w:val="00D8575F"/>
    <w:rsid w:val="00D91094"/>
    <w:rsid w:val="00D94D37"/>
    <w:rsid w:val="00DA2214"/>
    <w:rsid w:val="00DA5AA3"/>
    <w:rsid w:val="00DB0E99"/>
    <w:rsid w:val="00DB13C5"/>
    <w:rsid w:val="00DB2D4D"/>
    <w:rsid w:val="00DB526E"/>
    <w:rsid w:val="00DC06B3"/>
    <w:rsid w:val="00DC56BB"/>
    <w:rsid w:val="00DC582A"/>
    <w:rsid w:val="00DD0C75"/>
    <w:rsid w:val="00DD1021"/>
    <w:rsid w:val="00DD7669"/>
    <w:rsid w:val="00DE1062"/>
    <w:rsid w:val="00DE5B29"/>
    <w:rsid w:val="00DF06AE"/>
    <w:rsid w:val="00E02F61"/>
    <w:rsid w:val="00E0417C"/>
    <w:rsid w:val="00E057D1"/>
    <w:rsid w:val="00E13D39"/>
    <w:rsid w:val="00E16698"/>
    <w:rsid w:val="00E27FB6"/>
    <w:rsid w:val="00E315EC"/>
    <w:rsid w:val="00E32D3B"/>
    <w:rsid w:val="00E36B9C"/>
    <w:rsid w:val="00E37431"/>
    <w:rsid w:val="00E42584"/>
    <w:rsid w:val="00E438BF"/>
    <w:rsid w:val="00E46B9F"/>
    <w:rsid w:val="00E52272"/>
    <w:rsid w:val="00E76779"/>
    <w:rsid w:val="00E8196B"/>
    <w:rsid w:val="00E94CAB"/>
    <w:rsid w:val="00E95BC3"/>
    <w:rsid w:val="00EA2A27"/>
    <w:rsid w:val="00EB39B1"/>
    <w:rsid w:val="00EC5A6C"/>
    <w:rsid w:val="00EC751A"/>
    <w:rsid w:val="00ED2984"/>
    <w:rsid w:val="00ED3360"/>
    <w:rsid w:val="00EE0DBD"/>
    <w:rsid w:val="00EE1EA4"/>
    <w:rsid w:val="00EE2AB3"/>
    <w:rsid w:val="00EE4F9E"/>
    <w:rsid w:val="00EE6FB3"/>
    <w:rsid w:val="00EF01B4"/>
    <w:rsid w:val="00EF6896"/>
    <w:rsid w:val="00F00F5C"/>
    <w:rsid w:val="00F03B70"/>
    <w:rsid w:val="00F04A4C"/>
    <w:rsid w:val="00F10113"/>
    <w:rsid w:val="00F15449"/>
    <w:rsid w:val="00F17686"/>
    <w:rsid w:val="00F30651"/>
    <w:rsid w:val="00F36A05"/>
    <w:rsid w:val="00F439FC"/>
    <w:rsid w:val="00F52288"/>
    <w:rsid w:val="00F609DB"/>
    <w:rsid w:val="00F60DB4"/>
    <w:rsid w:val="00F632D8"/>
    <w:rsid w:val="00F73DD3"/>
    <w:rsid w:val="00F741E7"/>
    <w:rsid w:val="00F851BC"/>
    <w:rsid w:val="00F853DA"/>
    <w:rsid w:val="00F85F57"/>
    <w:rsid w:val="00FA27B3"/>
    <w:rsid w:val="00FA5691"/>
    <w:rsid w:val="00FB0AF6"/>
    <w:rsid w:val="00FB19B7"/>
    <w:rsid w:val="00FB67FA"/>
    <w:rsid w:val="00FB720C"/>
    <w:rsid w:val="00FC5791"/>
    <w:rsid w:val="00FD45F0"/>
    <w:rsid w:val="00FE5BBD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6974F"/>
  <w15:docId w15:val="{FF0F0F91-6983-4A79-9CAB-A3FDB94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F06"/>
    <w:pPr>
      <w:spacing w:after="0" w:line="240" w:lineRule="auto"/>
    </w:pPr>
  </w:style>
  <w:style w:type="table" w:styleId="TableGrid">
    <w:name w:val="Table Grid"/>
    <w:basedOn w:val="TableNormal"/>
    <w:uiPriority w:val="39"/>
    <w:rsid w:val="00524D2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0417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417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0417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0417C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D054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0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AE"/>
  </w:style>
  <w:style w:type="paragraph" w:styleId="Footer">
    <w:name w:val="footer"/>
    <w:basedOn w:val="Normal"/>
    <w:link w:val="FooterChar"/>
    <w:uiPriority w:val="99"/>
    <w:unhideWhenUsed/>
    <w:rsid w:val="00DF0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6AE"/>
  </w:style>
  <w:style w:type="paragraph" w:styleId="ListParagraph">
    <w:name w:val="List Paragraph"/>
    <w:basedOn w:val="Normal"/>
    <w:uiPriority w:val="34"/>
    <w:qFormat/>
    <w:rsid w:val="00106C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3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9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32D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9347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97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9B27F8ADF4F8ADDF94EB421FC25" ma:contentTypeVersion="14" ma:contentTypeDescription="Create a new document." ma:contentTypeScope="" ma:versionID="d9d0f4108e855ab64a2e3e5a74bc0e6b">
  <xsd:schema xmlns:xsd="http://www.w3.org/2001/XMLSchema" xmlns:xs="http://www.w3.org/2001/XMLSchema" xmlns:p="http://schemas.microsoft.com/office/2006/metadata/properties" xmlns:ns1="http://schemas.microsoft.com/sharepoint/v3" xmlns:ns3="2bcba8e5-f2ac-4ae6-9ab6-15ec63b77eb2" xmlns:ns4="2df172ae-0a2a-4634-8ad7-83f9b02fa473" targetNamespace="http://schemas.microsoft.com/office/2006/metadata/properties" ma:root="true" ma:fieldsID="b94b67cf1fd0df6fd8aef02656c06a57" ns1:_="" ns3:_="" ns4:_="">
    <xsd:import namespace="http://schemas.microsoft.com/sharepoint/v3"/>
    <xsd:import namespace="2bcba8e5-f2ac-4ae6-9ab6-15ec63b77eb2"/>
    <xsd:import namespace="2df172ae-0a2a-4634-8ad7-83f9b02fa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ba8e5-f2ac-4ae6-9ab6-15ec63b77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72ae-0a2a-4634-8ad7-83f9b02f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8E939-63F5-4476-91E5-3D12095AB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8B522-86CA-4C6B-99B1-D92DB42184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3CFBD2-3BBB-4D99-A2B4-D4F945B26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cba8e5-f2ac-4ae6-9ab6-15ec63b77eb2"/>
    <ds:schemaRef ds:uri="2df172ae-0a2a-4634-8ad7-83f9b02f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2C10D-68DE-4687-91CC-9803C5A1A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Folic acid antagonist use before and during pregnancy and risk for selected birth defects</dc:title>
  <dc:subject/>
  <dc:creator>Stephen M. Kerr, Samantha E. Parker, Allen A. Mitchell, Sarah C. Tinker, Martha M. Werler</dc:creator>
  <cp:keywords>Stephen M. Kerr, Samantha E. Parker, Allen A. Mitchell, Sarah C. Tinker, Martha M. Werler</cp:keywords>
  <dc:description>By CUC_Global.</dc:description>
  <cp:lastModifiedBy>Faruque, Joya (CDC/NCBDDD/OD) (CTR)</cp:lastModifiedBy>
  <cp:revision>2</cp:revision>
  <cp:lastPrinted>2019-07-16T19:42:00Z</cp:lastPrinted>
  <dcterms:created xsi:type="dcterms:W3CDTF">2024-02-27T18:34:00Z</dcterms:created>
  <dcterms:modified xsi:type="dcterms:W3CDTF">2024-02-27T18:34:00Z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0x01010003AB69B27F8ADF4F8ADDF94EB421FC25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2024-02-27T18:34:05Z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e65c6be3-a492-4ff8-a4d1-58690b368608</vt:lpwstr>
  </property>
  <property fmtid="{D5CDD505-2E9C-101B-9397-08002B2CF9AE}" pid="9" name="MSIP_Label_7b94a7b8-f06c-4dfe-bdcc-9b548fd58c31_ContentBits">
    <vt:lpwstr>0</vt:lpwstr>
  </property>
</Properties>
</file>