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00581" w14:textId="77777777" w:rsidR="00C53EED" w:rsidRPr="00540D01" w:rsidRDefault="00C53EED" w:rsidP="00C53EE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0D01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71DFED07" wp14:editId="36951603">
            <wp:extent cx="6597015" cy="3877519"/>
            <wp:effectExtent l="0" t="0" r="13335" b="8890"/>
            <wp:docPr id="12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16EFD9A4" w14:textId="77777777" w:rsidR="00C53EED" w:rsidRPr="00540D01" w:rsidRDefault="00C53EED" w:rsidP="00C53EE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0D01">
        <w:rPr>
          <w:rFonts w:ascii="Times New Roman" w:hAnsi="Times New Roman" w:cs="Times New Roman"/>
          <w:sz w:val="20"/>
          <w:szCs w:val="20"/>
        </w:rPr>
        <w:t>Figure S1a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540D01">
        <w:rPr>
          <w:rFonts w:ascii="Times New Roman" w:hAnsi="Times New Roman" w:cs="Times New Roman"/>
          <w:sz w:val="20"/>
          <w:szCs w:val="20"/>
        </w:rPr>
        <w:t xml:space="preserve"> Annual number and prevalence rate (PR) of prevalent asbestosis cases among fee-for-service Medicare beneficiaries, by case definition, 1999</w:t>
      </w:r>
      <w:r w:rsidRPr="00540D01">
        <w:rPr>
          <w:rFonts w:ascii="Times New Roman" w:hAnsi="Times New Roman" w:cs="Times New Roman"/>
          <w:b/>
          <w:bCs/>
          <w:color w:val="000000"/>
          <w:sz w:val="20"/>
          <w:szCs w:val="20"/>
        </w:rPr>
        <w:t>–</w:t>
      </w:r>
      <w:r w:rsidRPr="00540D01">
        <w:rPr>
          <w:rFonts w:ascii="Times New Roman" w:hAnsi="Times New Roman" w:cs="Times New Roman"/>
          <w:sz w:val="20"/>
          <w:szCs w:val="20"/>
        </w:rPr>
        <w:t>2019.</w:t>
      </w:r>
    </w:p>
    <w:p w14:paraId="0A7D2FC3" w14:textId="77777777" w:rsidR="00C53EED" w:rsidRPr="00540D01" w:rsidRDefault="00C53EED" w:rsidP="00C53EE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0D01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107A3D4C" wp14:editId="3C8E35AC">
            <wp:extent cx="6597015" cy="3365500"/>
            <wp:effectExtent l="0" t="0" r="13335" b="6350"/>
            <wp:docPr id="13" name="Chart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7F9E14BE" w14:textId="77777777" w:rsidR="00C53EED" w:rsidRPr="00540D01" w:rsidRDefault="00C53EED" w:rsidP="00C53EE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0D01">
        <w:rPr>
          <w:rFonts w:ascii="Times New Roman" w:hAnsi="Times New Roman" w:cs="Times New Roman"/>
          <w:sz w:val="20"/>
          <w:szCs w:val="20"/>
        </w:rPr>
        <w:t>Figure S1b. Annual number and incidence rate (IR) of incident asbestosis cases among fee-for-service Medicare beneficiaries, by case definition, 2002</w:t>
      </w:r>
      <w:r w:rsidRPr="00540D01">
        <w:rPr>
          <w:rFonts w:ascii="Times New Roman" w:hAnsi="Times New Roman" w:cs="Times New Roman"/>
          <w:b/>
          <w:bCs/>
          <w:color w:val="000000"/>
          <w:sz w:val="20"/>
          <w:szCs w:val="20"/>
        </w:rPr>
        <w:t>–</w:t>
      </w:r>
      <w:r w:rsidRPr="00540D01">
        <w:rPr>
          <w:rFonts w:ascii="Times New Roman" w:hAnsi="Times New Roman" w:cs="Times New Roman"/>
          <w:sz w:val="20"/>
          <w:szCs w:val="20"/>
        </w:rPr>
        <w:t xml:space="preserve">2019. Incident cases had at least three years of continuous Medicare enrollment without an asbestosis diagnosis code prior to the incident year. </w:t>
      </w:r>
    </w:p>
    <w:p w14:paraId="6E8EB31C" w14:textId="77777777" w:rsidR="00C53EED" w:rsidRPr="00540D01" w:rsidRDefault="00C53EED" w:rsidP="00C53EED">
      <w:pPr>
        <w:rPr>
          <w:rFonts w:ascii="Times New Roman" w:hAnsi="Times New Roman" w:cs="Times New Roman"/>
        </w:rPr>
      </w:pPr>
    </w:p>
    <w:p w14:paraId="737A1D33" w14:textId="77777777" w:rsidR="00C53EED" w:rsidRPr="00540D01" w:rsidRDefault="00C53EED" w:rsidP="00C53EE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0D01">
        <w:rPr>
          <w:rFonts w:ascii="Times New Roman" w:hAnsi="Times New Roman" w:cs="Times New Roman"/>
          <w:noProof/>
          <w:sz w:val="20"/>
          <w:szCs w:val="20"/>
        </w:rPr>
        <w:lastRenderedPageBreak/>
        <w:drawing>
          <wp:inline distT="0" distB="0" distL="0" distR="0" wp14:anchorId="36ADCFA4" wp14:editId="45039D58">
            <wp:extent cx="6597015" cy="3877519"/>
            <wp:effectExtent l="0" t="0" r="13335" b="8890"/>
            <wp:docPr id="14" name="Chart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2EBF1A40" w14:textId="77777777" w:rsidR="00C53EED" w:rsidRPr="00540D01" w:rsidRDefault="00C53EED" w:rsidP="00C53EE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0D01">
        <w:rPr>
          <w:rFonts w:ascii="Times New Roman" w:hAnsi="Times New Roman" w:cs="Times New Roman"/>
          <w:sz w:val="20"/>
          <w:szCs w:val="20"/>
        </w:rPr>
        <w:t>Figure S2a Annual number and prevalence rate (PR) of prevalent CWP cases among fee-for-service Medicare beneficiaries, by case definition, 1999</w:t>
      </w:r>
      <w:r w:rsidRPr="00540D01">
        <w:rPr>
          <w:rFonts w:ascii="Times New Roman" w:hAnsi="Times New Roman" w:cs="Times New Roman"/>
          <w:b/>
          <w:bCs/>
          <w:color w:val="000000"/>
          <w:sz w:val="20"/>
          <w:szCs w:val="20"/>
        </w:rPr>
        <w:t>–</w:t>
      </w:r>
      <w:r w:rsidRPr="00540D01">
        <w:rPr>
          <w:rFonts w:ascii="Times New Roman" w:hAnsi="Times New Roman" w:cs="Times New Roman"/>
          <w:sz w:val="20"/>
          <w:szCs w:val="20"/>
        </w:rPr>
        <w:t>2019.</w:t>
      </w:r>
    </w:p>
    <w:p w14:paraId="745ED24D" w14:textId="77777777" w:rsidR="00C53EED" w:rsidRPr="00540D01" w:rsidRDefault="00C53EED" w:rsidP="00C53EE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0D01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36B81FD9" wp14:editId="50AA8A5E">
            <wp:extent cx="6597015" cy="3365500"/>
            <wp:effectExtent l="0" t="0" r="13335" b="6350"/>
            <wp:docPr id="15" name="Chart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74B6D7FE" w14:textId="77777777" w:rsidR="00C53EED" w:rsidRPr="00540D01" w:rsidRDefault="00C53EED" w:rsidP="00C53EE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0D01">
        <w:rPr>
          <w:rFonts w:ascii="Times New Roman" w:hAnsi="Times New Roman" w:cs="Times New Roman"/>
          <w:sz w:val="20"/>
          <w:szCs w:val="20"/>
        </w:rPr>
        <w:t>Figure S2b. Annual number and incidence rate (IR) of incident CWP cases among fee-for-service Medicare beneficiaries, by case definition, 2002</w:t>
      </w:r>
      <w:r w:rsidRPr="00540D01">
        <w:rPr>
          <w:rFonts w:ascii="Times New Roman" w:hAnsi="Times New Roman" w:cs="Times New Roman"/>
          <w:b/>
          <w:bCs/>
          <w:color w:val="000000"/>
          <w:sz w:val="20"/>
          <w:szCs w:val="20"/>
        </w:rPr>
        <w:t>–</w:t>
      </w:r>
      <w:r w:rsidRPr="00540D01">
        <w:rPr>
          <w:rFonts w:ascii="Times New Roman" w:hAnsi="Times New Roman" w:cs="Times New Roman"/>
          <w:sz w:val="20"/>
          <w:szCs w:val="20"/>
        </w:rPr>
        <w:t xml:space="preserve">2019. Incident cases had at least three years of continuous Medicare enrollment without a CWP diagnosis code prior to the incident year. </w:t>
      </w:r>
    </w:p>
    <w:p w14:paraId="25892D93" w14:textId="77777777" w:rsidR="00C53EED" w:rsidRPr="00540D01" w:rsidRDefault="00C53EED" w:rsidP="00C53EED">
      <w:pPr>
        <w:rPr>
          <w:rFonts w:ascii="Times New Roman" w:hAnsi="Times New Roman" w:cs="Times New Roman"/>
        </w:rPr>
      </w:pPr>
    </w:p>
    <w:p w14:paraId="1AA63573" w14:textId="77777777" w:rsidR="00C53EED" w:rsidRPr="00540D01" w:rsidRDefault="00C53EED" w:rsidP="00C53EE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0D01">
        <w:rPr>
          <w:rFonts w:ascii="Times New Roman" w:hAnsi="Times New Roman" w:cs="Times New Roman"/>
          <w:noProof/>
          <w:sz w:val="20"/>
          <w:szCs w:val="20"/>
        </w:rPr>
        <w:lastRenderedPageBreak/>
        <w:drawing>
          <wp:inline distT="0" distB="0" distL="0" distR="0" wp14:anchorId="398B1D61" wp14:editId="28F2D4ED">
            <wp:extent cx="6597015" cy="3877519"/>
            <wp:effectExtent l="0" t="0" r="13335" b="8890"/>
            <wp:docPr id="16" name="Chart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755D3678" w14:textId="77777777" w:rsidR="00C53EED" w:rsidRPr="00540D01" w:rsidRDefault="00C53EED" w:rsidP="00C53EE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0D01">
        <w:rPr>
          <w:rFonts w:ascii="Times New Roman" w:hAnsi="Times New Roman" w:cs="Times New Roman"/>
          <w:sz w:val="20"/>
          <w:szCs w:val="20"/>
        </w:rPr>
        <w:t>Figure S3a. Annual number and prevalence rate (PR) of prevalent silicosis cases among fee-for-service Medicare beneficiaries, by case definition, 1999</w:t>
      </w:r>
      <w:r w:rsidRPr="00540D01">
        <w:rPr>
          <w:rFonts w:ascii="Times New Roman" w:hAnsi="Times New Roman" w:cs="Times New Roman"/>
          <w:b/>
          <w:bCs/>
          <w:color w:val="000000"/>
          <w:sz w:val="20"/>
          <w:szCs w:val="20"/>
        </w:rPr>
        <w:t>–</w:t>
      </w:r>
      <w:r w:rsidRPr="00540D01">
        <w:rPr>
          <w:rFonts w:ascii="Times New Roman" w:hAnsi="Times New Roman" w:cs="Times New Roman"/>
          <w:sz w:val="20"/>
          <w:szCs w:val="20"/>
        </w:rPr>
        <w:t>2019.</w:t>
      </w:r>
    </w:p>
    <w:p w14:paraId="13FF948E" w14:textId="77777777" w:rsidR="00C53EED" w:rsidRPr="00540D01" w:rsidRDefault="00C53EED" w:rsidP="00C53EE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0D01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06DF54E7" wp14:editId="40C8DC5D">
            <wp:extent cx="6597015" cy="3365500"/>
            <wp:effectExtent l="0" t="0" r="13335" b="6350"/>
            <wp:docPr id="17" name="Chart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4EF2C1E9" w14:textId="77777777" w:rsidR="00C53EED" w:rsidRPr="00540D01" w:rsidRDefault="00C53EED" w:rsidP="00C53EE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0D01">
        <w:rPr>
          <w:rFonts w:ascii="Times New Roman" w:hAnsi="Times New Roman" w:cs="Times New Roman"/>
          <w:sz w:val="20"/>
          <w:szCs w:val="20"/>
        </w:rPr>
        <w:t>Figure S3b. Annual number and incidence rate (IR) of incident silicosis cases among fee-for-service Medicare beneficiaries, by case definition, 2002</w:t>
      </w:r>
      <w:r w:rsidRPr="00540D01">
        <w:rPr>
          <w:rFonts w:ascii="Times New Roman" w:hAnsi="Times New Roman" w:cs="Times New Roman"/>
          <w:b/>
          <w:bCs/>
          <w:color w:val="000000"/>
          <w:sz w:val="20"/>
          <w:szCs w:val="20"/>
        </w:rPr>
        <w:t>–</w:t>
      </w:r>
      <w:r w:rsidRPr="00540D01">
        <w:rPr>
          <w:rFonts w:ascii="Times New Roman" w:hAnsi="Times New Roman" w:cs="Times New Roman"/>
          <w:sz w:val="20"/>
          <w:szCs w:val="20"/>
        </w:rPr>
        <w:t xml:space="preserve">2019. Incident cases had at least three years of continuous Medicare enrollment without a silicosis diagnosis code prior to the incident year. </w:t>
      </w:r>
    </w:p>
    <w:p w14:paraId="5205D592" w14:textId="77777777" w:rsidR="00C53EED" w:rsidRPr="00540D01" w:rsidRDefault="00C53EED" w:rsidP="00C53EED">
      <w:pPr>
        <w:rPr>
          <w:rFonts w:ascii="Times New Roman" w:hAnsi="Times New Roman" w:cs="Times New Roman"/>
        </w:rPr>
      </w:pPr>
    </w:p>
    <w:p w14:paraId="44DF1848" w14:textId="77777777" w:rsidR="00C53EED" w:rsidRPr="00540D01" w:rsidRDefault="00C53EED" w:rsidP="00C53EE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0D01">
        <w:rPr>
          <w:rFonts w:ascii="Times New Roman" w:hAnsi="Times New Roman" w:cs="Times New Roman"/>
          <w:noProof/>
          <w:sz w:val="20"/>
          <w:szCs w:val="20"/>
        </w:rPr>
        <w:lastRenderedPageBreak/>
        <w:drawing>
          <wp:inline distT="0" distB="0" distL="0" distR="0" wp14:anchorId="74BAA955" wp14:editId="37FF2202">
            <wp:extent cx="6597015" cy="3877519"/>
            <wp:effectExtent l="0" t="0" r="13335" b="8890"/>
            <wp:docPr id="21" name="Chart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3DB35E9E" w14:textId="77777777" w:rsidR="00C53EED" w:rsidRPr="00540D01" w:rsidRDefault="00C53EED" w:rsidP="00C53EE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0D01">
        <w:rPr>
          <w:rFonts w:ascii="Times New Roman" w:hAnsi="Times New Roman" w:cs="Times New Roman"/>
          <w:sz w:val="20"/>
          <w:szCs w:val="20"/>
        </w:rPr>
        <w:t xml:space="preserve">Figure S4a Annual number and prevalence rate (PR) of prevalent </w:t>
      </w:r>
      <w:r>
        <w:rPr>
          <w:rFonts w:ascii="Times New Roman" w:eastAsia="Times New Roman" w:hAnsi="Times New Roman" w:cs="Times New Roman"/>
        </w:rPr>
        <w:t>b</w:t>
      </w:r>
      <w:r w:rsidRPr="00540D01">
        <w:rPr>
          <w:rFonts w:ascii="Times New Roman" w:eastAsia="Times New Roman" w:hAnsi="Times New Roman" w:cs="Times New Roman"/>
        </w:rPr>
        <w:t>yssinosis/</w:t>
      </w:r>
      <w:proofErr w:type="spellStart"/>
      <w:r>
        <w:rPr>
          <w:rFonts w:ascii="Times New Roman" w:eastAsia="Times New Roman" w:hAnsi="Times New Roman" w:cs="Times New Roman"/>
        </w:rPr>
        <w:t>c</w:t>
      </w:r>
      <w:r w:rsidRPr="00540D01">
        <w:rPr>
          <w:rFonts w:ascii="Times New Roman" w:eastAsia="Times New Roman" w:hAnsi="Times New Roman" w:cs="Times New Roman"/>
        </w:rPr>
        <w:t>annabinosis</w:t>
      </w:r>
      <w:proofErr w:type="spellEnd"/>
      <w:r w:rsidRPr="00540D01"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f</w:t>
      </w:r>
      <w:r w:rsidRPr="00540D01">
        <w:rPr>
          <w:rFonts w:ascii="Times New Roman" w:eastAsia="Times New Roman" w:hAnsi="Times New Roman" w:cs="Times New Roman"/>
        </w:rPr>
        <w:t>lax-dressers’ disease (</w:t>
      </w:r>
      <w:r>
        <w:rPr>
          <w:rFonts w:ascii="Times New Roman" w:eastAsia="Times New Roman" w:hAnsi="Times New Roman" w:cs="Times New Roman"/>
        </w:rPr>
        <w:t>b</w:t>
      </w:r>
      <w:r w:rsidRPr="00540D01">
        <w:rPr>
          <w:rFonts w:ascii="Times New Roman" w:eastAsia="Times New Roman" w:hAnsi="Times New Roman" w:cs="Times New Roman"/>
        </w:rPr>
        <w:t>yssinosis+)</w:t>
      </w:r>
      <w:r w:rsidRPr="00540D01">
        <w:rPr>
          <w:rFonts w:ascii="Times New Roman" w:hAnsi="Times New Roman" w:cs="Times New Roman"/>
          <w:sz w:val="20"/>
          <w:szCs w:val="20"/>
        </w:rPr>
        <w:t xml:space="preserve"> cases among fee-for-service Medicare beneficiaries, by case definition, 1999</w:t>
      </w:r>
      <w:r w:rsidRPr="00540D01">
        <w:rPr>
          <w:rFonts w:ascii="Times New Roman" w:hAnsi="Times New Roman" w:cs="Times New Roman"/>
          <w:b/>
          <w:bCs/>
          <w:color w:val="000000"/>
          <w:sz w:val="20"/>
          <w:szCs w:val="20"/>
        </w:rPr>
        <w:t>–</w:t>
      </w:r>
      <w:r w:rsidRPr="00540D01">
        <w:rPr>
          <w:rFonts w:ascii="Times New Roman" w:hAnsi="Times New Roman" w:cs="Times New Roman"/>
          <w:sz w:val="20"/>
          <w:szCs w:val="20"/>
        </w:rPr>
        <w:t>2019.</w:t>
      </w:r>
    </w:p>
    <w:p w14:paraId="2541B2C9" w14:textId="77777777" w:rsidR="00C53EED" w:rsidRPr="00540D01" w:rsidRDefault="00C53EED" w:rsidP="00C53EE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0D01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51C87194" wp14:editId="11BA2637">
            <wp:extent cx="6597015" cy="3365500"/>
            <wp:effectExtent l="0" t="0" r="13335" b="6350"/>
            <wp:docPr id="23" name="Chart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64748543" w14:textId="77777777" w:rsidR="00C53EED" w:rsidRPr="00540D01" w:rsidRDefault="00C53EED" w:rsidP="00C53EE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0D01">
        <w:rPr>
          <w:rFonts w:ascii="Times New Roman" w:hAnsi="Times New Roman" w:cs="Times New Roman"/>
          <w:sz w:val="20"/>
          <w:szCs w:val="20"/>
        </w:rPr>
        <w:t xml:space="preserve">Figure S4b. Annual number and incidence rate (IR) of incident </w:t>
      </w:r>
      <w:r>
        <w:rPr>
          <w:rFonts w:ascii="Times New Roman" w:eastAsia="Times New Roman" w:hAnsi="Times New Roman" w:cs="Times New Roman"/>
        </w:rPr>
        <w:t>b</w:t>
      </w:r>
      <w:r w:rsidRPr="00540D01">
        <w:rPr>
          <w:rFonts w:ascii="Times New Roman" w:eastAsia="Times New Roman" w:hAnsi="Times New Roman" w:cs="Times New Roman"/>
        </w:rPr>
        <w:t>yssinosis+</w:t>
      </w:r>
      <w:r>
        <w:rPr>
          <w:rFonts w:ascii="Times New Roman" w:eastAsia="Times New Roman" w:hAnsi="Times New Roman" w:cs="Times New Roman"/>
        </w:rPr>
        <w:t xml:space="preserve"> </w:t>
      </w:r>
      <w:r w:rsidRPr="00540D01">
        <w:rPr>
          <w:rFonts w:ascii="Times New Roman" w:hAnsi="Times New Roman" w:cs="Times New Roman"/>
          <w:sz w:val="20"/>
          <w:szCs w:val="20"/>
        </w:rPr>
        <w:t>cases among fee-for-service Medicare beneficiaries, by case definition, 2002</w:t>
      </w:r>
      <w:r w:rsidRPr="00540D01">
        <w:rPr>
          <w:rFonts w:ascii="Times New Roman" w:hAnsi="Times New Roman" w:cs="Times New Roman"/>
          <w:b/>
          <w:bCs/>
          <w:color w:val="000000"/>
          <w:sz w:val="20"/>
          <w:szCs w:val="20"/>
        </w:rPr>
        <w:t>–</w:t>
      </w:r>
      <w:r w:rsidRPr="00540D01">
        <w:rPr>
          <w:rFonts w:ascii="Times New Roman" w:hAnsi="Times New Roman" w:cs="Times New Roman"/>
          <w:sz w:val="20"/>
          <w:szCs w:val="20"/>
        </w:rPr>
        <w:t xml:space="preserve">2019. Incident cases had at least three years of continuous Medicare enrollment without a </w:t>
      </w:r>
      <w:r>
        <w:rPr>
          <w:rFonts w:ascii="Times New Roman" w:eastAsia="Times New Roman" w:hAnsi="Times New Roman" w:cs="Times New Roman"/>
        </w:rPr>
        <w:t>b</w:t>
      </w:r>
      <w:r w:rsidRPr="00540D01">
        <w:rPr>
          <w:rFonts w:ascii="Times New Roman" w:eastAsia="Times New Roman" w:hAnsi="Times New Roman" w:cs="Times New Roman"/>
        </w:rPr>
        <w:t>yssinosis+</w:t>
      </w:r>
      <w:r>
        <w:rPr>
          <w:rFonts w:ascii="Times New Roman" w:eastAsia="Times New Roman" w:hAnsi="Times New Roman" w:cs="Times New Roman"/>
        </w:rPr>
        <w:t xml:space="preserve"> </w:t>
      </w:r>
      <w:r w:rsidRPr="00540D01">
        <w:rPr>
          <w:rFonts w:ascii="Times New Roman" w:hAnsi="Times New Roman" w:cs="Times New Roman"/>
          <w:sz w:val="20"/>
          <w:szCs w:val="20"/>
        </w:rPr>
        <w:t xml:space="preserve">diagnosis code prior to the incident year. </w:t>
      </w:r>
    </w:p>
    <w:p w14:paraId="652936AD" w14:textId="77777777" w:rsidR="00C53EED" w:rsidRPr="00540D01" w:rsidRDefault="00C53EED" w:rsidP="00C53EE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0D01">
        <w:rPr>
          <w:rFonts w:ascii="Times New Roman" w:hAnsi="Times New Roman" w:cs="Times New Roman"/>
          <w:noProof/>
          <w:sz w:val="20"/>
          <w:szCs w:val="20"/>
        </w:rPr>
        <w:lastRenderedPageBreak/>
        <w:drawing>
          <wp:inline distT="0" distB="0" distL="0" distR="0" wp14:anchorId="2D58D197" wp14:editId="436D5DE1">
            <wp:extent cx="6668135" cy="3877310"/>
            <wp:effectExtent l="0" t="0" r="18415" b="8890"/>
            <wp:docPr id="24" name="Chart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792374CB" w14:textId="77777777" w:rsidR="00C53EED" w:rsidRPr="00540D01" w:rsidRDefault="00C53EED" w:rsidP="00C53EE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0D01">
        <w:rPr>
          <w:rFonts w:ascii="Times New Roman" w:hAnsi="Times New Roman" w:cs="Times New Roman"/>
          <w:sz w:val="20"/>
          <w:szCs w:val="20"/>
        </w:rPr>
        <w:t xml:space="preserve">Figure </w:t>
      </w:r>
      <w:r>
        <w:rPr>
          <w:rFonts w:ascii="Times New Roman" w:hAnsi="Times New Roman" w:cs="Times New Roman"/>
          <w:sz w:val="20"/>
          <w:szCs w:val="20"/>
        </w:rPr>
        <w:t>S5</w:t>
      </w:r>
      <w:r w:rsidRPr="00540D01"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540D01">
        <w:rPr>
          <w:rFonts w:ascii="Times New Roman" w:hAnsi="Times New Roman" w:cs="Times New Roman"/>
          <w:sz w:val="20"/>
          <w:szCs w:val="20"/>
        </w:rPr>
        <w:t xml:space="preserve"> Annual number and prevalence rate (PR) of prevalent </w:t>
      </w:r>
      <w:r w:rsidRPr="00540D01">
        <w:rPr>
          <w:rFonts w:ascii="Times New Roman" w:eastAsia="Times New Roman" w:hAnsi="Times New Roman" w:cs="Times New Roman"/>
        </w:rPr>
        <w:t xml:space="preserve">Other/Unspecified Pneumoconiosis </w:t>
      </w:r>
      <w:r w:rsidRPr="00540D01">
        <w:rPr>
          <w:rFonts w:ascii="Times New Roman" w:hAnsi="Times New Roman" w:cs="Times New Roman"/>
          <w:sz w:val="20"/>
          <w:szCs w:val="20"/>
        </w:rPr>
        <w:t>cases among fee-for-service Medicare beneficiaries, by case definition, 1999</w:t>
      </w:r>
      <w:r w:rsidRPr="00540D01">
        <w:rPr>
          <w:rFonts w:ascii="Times New Roman" w:hAnsi="Times New Roman" w:cs="Times New Roman"/>
          <w:b/>
          <w:bCs/>
          <w:color w:val="000000"/>
          <w:sz w:val="20"/>
          <w:szCs w:val="20"/>
        </w:rPr>
        <w:t>–</w:t>
      </w:r>
      <w:r w:rsidRPr="00540D01">
        <w:rPr>
          <w:rFonts w:ascii="Times New Roman" w:hAnsi="Times New Roman" w:cs="Times New Roman"/>
          <w:sz w:val="20"/>
          <w:szCs w:val="20"/>
        </w:rPr>
        <w:t>2019.</w:t>
      </w:r>
    </w:p>
    <w:p w14:paraId="604489CD" w14:textId="77777777" w:rsidR="00C53EED" w:rsidRPr="00540D01" w:rsidRDefault="00C53EED" w:rsidP="00C53EE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0D01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55B75A47" wp14:editId="760F31F4">
            <wp:extent cx="6668219" cy="3365500"/>
            <wp:effectExtent l="0" t="0" r="18415" b="6350"/>
            <wp:docPr id="25" name="Chart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4CD27FDF" w14:textId="3733DF51" w:rsidR="00DC6C5E" w:rsidRPr="00C53EED" w:rsidRDefault="00C53EED" w:rsidP="00C53EED">
      <w:pPr>
        <w:spacing w:after="0" w:line="240" w:lineRule="auto"/>
      </w:pPr>
      <w:r w:rsidRPr="00C53EED">
        <w:rPr>
          <w:rFonts w:ascii="Times New Roman" w:hAnsi="Times New Roman" w:cs="Times New Roman"/>
          <w:sz w:val="20"/>
          <w:szCs w:val="20"/>
        </w:rPr>
        <w:t xml:space="preserve">Figure S5b. Annual number and incidence rate (IR) of incident </w:t>
      </w:r>
      <w:r w:rsidRPr="00C53EED">
        <w:rPr>
          <w:rFonts w:ascii="Times New Roman" w:eastAsia="Times New Roman" w:hAnsi="Times New Roman" w:cs="Times New Roman"/>
        </w:rPr>
        <w:t xml:space="preserve">Other/Unspecified Pneumoconiosis </w:t>
      </w:r>
      <w:r w:rsidRPr="00C53EED">
        <w:rPr>
          <w:rFonts w:ascii="Times New Roman" w:hAnsi="Times New Roman" w:cs="Times New Roman"/>
          <w:sz w:val="20"/>
          <w:szCs w:val="20"/>
        </w:rPr>
        <w:t>cases among fee-for-service Medicare beneficiaries, by case definition, 2002</w:t>
      </w:r>
      <w:r w:rsidRPr="00C53EED">
        <w:rPr>
          <w:rFonts w:ascii="Times New Roman" w:hAnsi="Times New Roman" w:cs="Times New Roman"/>
          <w:b/>
          <w:bCs/>
          <w:sz w:val="20"/>
          <w:szCs w:val="20"/>
        </w:rPr>
        <w:t>–</w:t>
      </w:r>
      <w:r w:rsidRPr="00C53EED">
        <w:rPr>
          <w:rFonts w:ascii="Times New Roman" w:hAnsi="Times New Roman" w:cs="Times New Roman"/>
          <w:sz w:val="20"/>
          <w:szCs w:val="20"/>
        </w:rPr>
        <w:t xml:space="preserve">2019. Incident cases had at least three years of continuous Medicare enrollment without an </w:t>
      </w:r>
      <w:r w:rsidRPr="00C53EED">
        <w:rPr>
          <w:rFonts w:ascii="Times New Roman" w:eastAsia="Times New Roman" w:hAnsi="Times New Roman" w:cs="Times New Roman"/>
        </w:rPr>
        <w:t xml:space="preserve">Other/Unspecified Pneumoconiosis </w:t>
      </w:r>
      <w:r w:rsidRPr="00C53EED">
        <w:rPr>
          <w:rFonts w:ascii="Times New Roman" w:hAnsi="Times New Roman" w:cs="Times New Roman"/>
          <w:sz w:val="20"/>
          <w:szCs w:val="20"/>
        </w:rPr>
        <w:t xml:space="preserve">diagnosis code prior to the incident year. </w:t>
      </w:r>
    </w:p>
    <w:sectPr w:rsidR="00DC6C5E" w:rsidRPr="00C53EED" w:rsidSect="00C73E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361AC" w14:textId="77777777" w:rsidR="00C53EED" w:rsidRDefault="00C53EED" w:rsidP="00C53EED">
      <w:pPr>
        <w:spacing w:after="0" w:line="240" w:lineRule="auto"/>
      </w:pPr>
      <w:r>
        <w:separator/>
      </w:r>
    </w:p>
  </w:endnote>
  <w:endnote w:type="continuationSeparator" w:id="0">
    <w:p w14:paraId="49CC9807" w14:textId="77777777" w:rsidR="00C53EED" w:rsidRDefault="00C53EED" w:rsidP="00C53E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4E506" w14:textId="77777777" w:rsidR="00C53EED" w:rsidRDefault="00C53EED" w:rsidP="00C53EED">
      <w:pPr>
        <w:spacing w:after="0" w:line="240" w:lineRule="auto"/>
      </w:pPr>
      <w:r>
        <w:separator/>
      </w:r>
    </w:p>
  </w:footnote>
  <w:footnote w:type="continuationSeparator" w:id="0">
    <w:p w14:paraId="44C0B27A" w14:textId="77777777" w:rsidR="00C53EED" w:rsidRDefault="00C53EED" w:rsidP="00C53E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EED"/>
    <w:rsid w:val="002729D4"/>
    <w:rsid w:val="009518BB"/>
    <w:rsid w:val="00C53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8FE2B1"/>
  <w15:chartTrackingRefBased/>
  <w15:docId w15:val="{D14B117F-5683-4B02-A8A0-DED5BE7C8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3E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3E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3EED"/>
  </w:style>
  <w:style w:type="paragraph" w:styleId="Footer">
    <w:name w:val="footer"/>
    <w:basedOn w:val="Normal"/>
    <w:link w:val="FooterChar"/>
    <w:uiPriority w:val="99"/>
    <w:unhideWhenUsed/>
    <w:rsid w:val="00C53E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3E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chart" Target="charts/chart8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endnotes" Target="endnotes.xml"/><Relationship Id="rId15" Type="http://schemas.openxmlformats.org/officeDocument/2006/relationships/chart" Target="charts/chart10.xml"/><Relationship Id="rId10" Type="http://schemas.openxmlformats.org/officeDocument/2006/relationships/chart" Target="charts/chart5.xml"/><Relationship Id="rId4" Type="http://schemas.openxmlformats.org/officeDocument/2006/relationships/footnotes" Target="footnotes.xml"/><Relationship Id="rId9" Type="http://schemas.openxmlformats.org/officeDocument/2006/relationships/chart" Target="charts/chart4.xml"/><Relationship Id="rId14" Type="http://schemas.openxmlformats.org/officeDocument/2006/relationships/chart" Target="charts/chart9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9.xlsx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5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6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7.xlsx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8.xlsx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1397213714913133"/>
          <c:y val="3.8128249566724434E-2"/>
          <c:w val="0.80276469554114194"/>
          <c:h val="0.7315995032683306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Broad Asbestosis Prevalence</c:v>
                </c:pt>
              </c:strCache>
            </c:strRef>
          </c:tx>
          <c:spPr>
            <a:solidFill>
              <a:schemeClr val="tx1"/>
            </a:solidFill>
            <a:ln>
              <a:solidFill>
                <a:schemeClr val="tx1"/>
              </a:solidFill>
            </a:ln>
            <a:effectLst/>
          </c:spPr>
          <c:invertIfNegative val="0"/>
          <c:cat>
            <c:numRef>
              <c:f>Sheet1!$A$2:$A$22</c:f>
              <c:numCache>
                <c:formatCode>General</c:formatCode>
                <c:ptCount val="21"/>
                <c:pt idx="0">
                  <c:v>1999</c:v>
                </c:pt>
                <c:pt idx="1">
                  <c:v>2000</c:v>
                </c:pt>
                <c:pt idx="2">
                  <c:v>2001</c:v>
                </c:pt>
                <c:pt idx="3">
                  <c:v>2002</c:v>
                </c:pt>
                <c:pt idx="4">
                  <c:v>2003</c:v>
                </c:pt>
                <c:pt idx="5">
                  <c:v>2004</c:v>
                </c:pt>
                <c:pt idx="6">
                  <c:v>2005</c:v>
                </c:pt>
                <c:pt idx="7">
                  <c:v>2006</c:v>
                </c:pt>
                <c:pt idx="8">
                  <c:v>2007</c:v>
                </c:pt>
                <c:pt idx="9">
                  <c:v>2008</c:v>
                </c:pt>
                <c:pt idx="10">
                  <c:v>2009</c:v>
                </c:pt>
                <c:pt idx="11">
                  <c:v>2010</c:v>
                </c:pt>
                <c:pt idx="12">
                  <c:v>2011</c:v>
                </c:pt>
                <c:pt idx="13">
                  <c:v>2012</c:v>
                </c:pt>
                <c:pt idx="14">
                  <c:v>2013</c:v>
                </c:pt>
                <c:pt idx="15">
                  <c:v>2014</c:v>
                </c:pt>
                <c:pt idx="16">
                  <c:v>2015</c:v>
                </c:pt>
                <c:pt idx="17">
                  <c:v>2016</c:v>
                </c:pt>
                <c:pt idx="18">
                  <c:v>2017</c:v>
                </c:pt>
                <c:pt idx="19">
                  <c:v>2018</c:v>
                </c:pt>
                <c:pt idx="20">
                  <c:v>2019</c:v>
                </c:pt>
              </c:numCache>
            </c:numRef>
          </c:cat>
          <c:val>
            <c:numRef>
              <c:f>Sheet1!$B$2:$B$22</c:f>
              <c:numCache>
                <c:formatCode>_(* #,##0_);_(* \(#,##0\);_(* "-"??_);_(@_)</c:formatCode>
                <c:ptCount val="21"/>
                <c:pt idx="0">
                  <c:v>38561</c:v>
                </c:pt>
                <c:pt idx="1">
                  <c:v>66590</c:v>
                </c:pt>
                <c:pt idx="2">
                  <c:v>91102</c:v>
                </c:pt>
                <c:pt idx="3">
                  <c:v>111798</c:v>
                </c:pt>
                <c:pt idx="4">
                  <c:v>129247</c:v>
                </c:pt>
                <c:pt idx="5">
                  <c:v>142673</c:v>
                </c:pt>
                <c:pt idx="6">
                  <c:v>151752</c:v>
                </c:pt>
                <c:pt idx="7">
                  <c:v>155587</c:v>
                </c:pt>
                <c:pt idx="8">
                  <c:v>157184</c:v>
                </c:pt>
                <c:pt idx="9">
                  <c:v>157593</c:v>
                </c:pt>
                <c:pt idx="10">
                  <c:v>157630</c:v>
                </c:pt>
                <c:pt idx="11">
                  <c:v>159050</c:v>
                </c:pt>
                <c:pt idx="12">
                  <c:v>160681</c:v>
                </c:pt>
                <c:pt idx="13">
                  <c:v>157806</c:v>
                </c:pt>
                <c:pt idx="14">
                  <c:v>153833</c:v>
                </c:pt>
                <c:pt idx="15">
                  <c:v>149073</c:v>
                </c:pt>
                <c:pt idx="16">
                  <c:v>145161</c:v>
                </c:pt>
                <c:pt idx="17">
                  <c:v>138472</c:v>
                </c:pt>
                <c:pt idx="18">
                  <c:v>129207</c:v>
                </c:pt>
                <c:pt idx="19">
                  <c:v>119606</c:v>
                </c:pt>
                <c:pt idx="20">
                  <c:v>110796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53D-4B54-AC3B-6F4F6E91F920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Intermediate Asbestosis Prevalence</c:v>
                </c:pt>
              </c:strCache>
            </c:strRef>
          </c:tx>
          <c:spPr>
            <a:solidFill>
              <a:schemeClr val="tx1">
                <a:lumMod val="50000"/>
                <a:lumOff val="50000"/>
              </a:schemeClr>
            </a:solidFill>
            <a:ln>
              <a:solidFill>
                <a:schemeClr val="tx1">
                  <a:lumMod val="50000"/>
                  <a:lumOff val="50000"/>
                </a:schemeClr>
              </a:solidFill>
            </a:ln>
            <a:effectLst/>
          </c:spPr>
          <c:invertIfNegative val="0"/>
          <c:cat>
            <c:numRef>
              <c:f>Sheet1!$A$2:$A$22</c:f>
              <c:numCache>
                <c:formatCode>General</c:formatCode>
                <c:ptCount val="21"/>
                <c:pt idx="0">
                  <c:v>1999</c:v>
                </c:pt>
                <c:pt idx="1">
                  <c:v>2000</c:v>
                </c:pt>
                <c:pt idx="2">
                  <c:v>2001</c:v>
                </c:pt>
                <c:pt idx="3">
                  <c:v>2002</c:v>
                </c:pt>
                <c:pt idx="4">
                  <c:v>2003</c:v>
                </c:pt>
                <c:pt idx="5">
                  <c:v>2004</c:v>
                </c:pt>
                <c:pt idx="6">
                  <c:v>2005</c:v>
                </c:pt>
                <c:pt idx="7">
                  <c:v>2006</c:v>
                </c:pt>
                <c:pt idx="8">
                  <c:v>2007</c:v>
                </c:pt>
                <c:pt idx="9">
                  <c:v>2008</c:v>
                </c:pt>
                <c:pt idx="10">
                  <c:v>2009</c:v>
                </c:pt>
                <c:pt idx="11">
                  <c:v>2010</c:v>
                </c:pt>
                <c:pt idx="12">
                  <c:v>2011</c:v>
                </c:pt>
                <c:pt idx="13">
                  <c:v>2012</c:v>
                </c:pt>
                <c:pt idx="14">
                  <c:v>2013</c:v>
                </c:pt>
                <c:pt idx="15">
                  <c:v>2014</c:v>
                </c:pt>
                <c:pt idx="16">
                  <c:v>2015</c:v>
                </c:pt>
                <c:pt idx="17">
                  <c:v>2016</c:v>
                </c:pt>
                <c:pt idx="18">
                  <c:v>2017</c:v>
                </c:pt>
                <c:pt idx="19">
                  <c:v>2018</c:v>
                </c:pt>
                <c:pt idx="20">
                  <c:v>2019</c:v>
                </c:pt>
              </c:numCache>
            </c:numRef>
          </c:cat>
          <c:val>
            <c:numRef>
              <c:f>Sheet1!$C$2:$C$22</c:f>
              <c:numCache>
                <c:formatCode>General</c:formatCode>
                <c:ptCount val="21"/>
                <c:pt idx="0">
                  <c:v>30963</c:v>
                </c:pt>
                <c:pt idx="1">
                  <c:v>52179</c:v>
                </c:pt>
                <c:pt idx="2">
                  <c:v>70251</c:v>
                </c:pt>
                <c:pt idx="3">
                  <c:v>85642</c:v>
                </c:pt>
                <c:pt idx="4">
                  <c:v>98274</c:v>
                </c:pt>
                <c:pt idx="5">
                  <c:v>107902</c:v>
                </c:pt>
                <c:pt idx="6">
                  <c:v>114270</c:v>
                </c:pt>
                <c:pt idx="7">
                  <c:v>116939</c:v>
                </c:pt>
                <c:pt idx="8">
                  <c:v>117884</c:v>
                </c:pt>
                <c:pt idx="9">
                  <c:v>118034</c:v>
                </c:pt>
                <c:pt idx="10">
                  <c:v>117576</c:v>
                </c:pt>
                <c:pt idx="11">
                  <c:v>118024</c:v>
                </c:pt>
                <c:pt idx="12">
                  <c:v>119621</c:v>
                </c:pt>
                <c:pt idx="13">
                  <c:v>117660</c:v>
                </c:pt>
                <c:pt idx="14">
                  <c:v>114462</c:v>
                </c:pt>
                <c:pt idx="15">
                  <c:v>110482</c:v>
                </c:pt>
                <c:pt idx="16">
                  <c:v>106625</c:v>
                </c:pt>
                <c:pt idx="17">
                  <c:v>100991</c:v>
                </c:pt>
                <c:pt idx="18">
                  <c:v>93647</c:v>
                </c:pt>
                <c:pt idx="19">
                  <c:v>86208</c:v>
                </c:pt>
                <c:pt idx="20">
                  <c:v>78655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53D-4B54-AC3B-6F4F6E91F920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Narrow Asbestosis Prevalence</c:v>
                </c:pt>
              </c:strCache>
            </c:strRef>
          </c:tx>
          <c:spPr>
            <a:solidFill>
              <a:schemeClr val="bg1"/>
            </a:solidFill>
            <a:ln>
              <a:solidFill>
                <a:schemeClr val="tx1"/>
              </a:solidFill>
            </a:ln>
            <a:effectLst/>
          </c:spPr>
          <c:invertIfNegative val="0"/>
          <c:cat>
            <c:numRef>
              <c:f>Sheet1!$A$2:$A$22</c:f>
              <c:numCache>
                <c:formatCode>General</c:formatCode>
                <c:ptCount val="21"/>
                <c:pt idx="0">
                  <c:v>1999</c:v>
                </c:pt>
                <c:pt idx="1">
                  <c:v>2000</c:v>
                </c:pt>
                <c:pt idx="2">
                  <c:v>2001</c:v>
                </c:pt>
                <c:pt idx="3">
                  <c:v>2002</c:v>
                </c:pt>
                <c:pt idx="4">
                  <c:v>2003</c:v>
                </c:pt>
                <c:pt idx="5">
                  <c:v>2004</c:v>
                </c:pt>
                <c:pt idx="6">
                  <c:v>2005</c:v>
                </c:pt>
                <c:pt idx="7">
                  <c:v>2006</c:v>
                </c:pt>
                <c:pt idx="8">
                  <c:v>2007</c:v>
                </c:pt>
                <c:pt idx="9">
                  <c:v>2008</c:v>
                </c:pt>
                <c:pt idx="10">
                  <c:v>2009</c:v>
                </c:pt>
                <c:pt idx="11">
                  <c:v>2010</c:v>
                </c:pt>
                <c:pt idx="12">
                  <c:v>2011</c:v>
                </c:pt>
                <c:pt idx="13">
                  <c:v>2012</c:v>
                </c:pt>
                <c:pt idx="14">
                  <c:v>2013</c:v>
                </c:pt>
                <c:pt idx="15">
                  <c:v>2014</c:v>
                </c:pt>
                <c:pt idx="16">
                  <c:v>2015</c:v>
                </c:pt>
                <c:pt idx="17">
                  <c:v>2016</c:v>
                </c:pt>
                <c:pt idx="18">
                  <c:v>2017</c:v>
                </c:pt>
                <c:pt idx="19">
                  <c:v>2018</c:v>
                </c:pt>
                <c:pt idx="20">
                  <c:v>2019</c:v>
                </c:pt>
              </c:numCache>
            </c:numRef>
          </c:cat>
          <c:val>
            <c:numRef>
              <c:f>Sheet1!$D$2:$D$22</c:f>
              <c:numCache>
                <c:formatCode>General</c:formatCode>
                <c:ptCount val="21"/>
                <c:pt idx="0">
                  <c:v>19199</c:v>
                </c:pt>
                <c:pt idx="1">
                  <c:v>32957</c:v>
                </c:pt>
                <c:pt idx="2">
                  <c:v>44385</c:v>
                </c:pt>
                <c:pt idx="3">
                  <c:v>53734</c:v>
                </c:pt>
                <c:pt idx="4">
                  <c:v>61431</c:v>
                </c:pt>
                <c:pt idx="5">
                  <c:v>66994</c:v>
                </c:pt>
                <c:pt idx="6">
                  <c:v>74751</c:v>
                </c:pt>
                <c:pt idx="7">
                  <c:v>76109</c:v>
                </c:pt>
                <c:pt idx="8">
                  <c:v>75789</c:v>
                </c:pt>
                <c:pt idx="9">
                  <c:v>74645</c:v>
                </c:pt>
                <c:pt idx="10">
                  <c:v>73762</c:v>
                </c:pt>
                <c:pt idx="11">
                  <c:v>74224</c:v>
                </c:pt>
                <c:pt idx="12">
                  <c:v>75378</c:v>
                </c:pt>
                <c:pt idx="13">
                  <c:v>74581</c:v>
                </c:pt>
                <c:pt idx="14">
                  <c:v>72796</c:v>
                </c:pt>
                <c:pt idx="15">
                  <c:v>70615</c:v>
                </c:pt>
                <c:pt idx="16">
                  <c:v>68952</c:v>
                </c:pt>
                <c:pt idx="17">
                  <c:v>65724</c:v>
                </c:pt>
                <c:pt idx="18">
                  <c:v>61696</c:v>
                </c:pt>
                <c:pt idx="19">
                  <c:v>58179</c:v>
                </c:pt>
                <c:pt idx="20">
                  <c:v>57109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53D-4B54-AC3B-6F4F6E91F92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8452864"/>
        <c:axId val="28451200"/>
      </c:barChart>
      <c:lineChart>
        <c:grouping val="standard"/>
        <c:varyColors val="0"/>
        <c:ser>
          <c:idx val="3"/>
          <c:order val="3"/>
          <c:tx>
            <c:strRef>
              <c:f>Sheet1!$E$1</c:f>
              <c:strCache>
                <c:ptCount val="1"/>
                <c:pt idx="0">
                  <c:v>Broad Asbestosis PR </c:v>
                </c:pt>
              </c:strCache>
            </c:strRef>
          </c:tx>
          <c:spPr>
            <a:ln w="28575" cap="rnd">
              <a:solidFill>
                <a:schemeClr val="tx1"/>
              </a:solidFill>
              <a:prstDash val="lgDash"/>
              <a:round/>
            </a:ln>
            <a:effectLst/>
          </c:spPr>
          <c:marker>
            <c:symbol val="none"/>
          </c:marker>
          <c:cat>
            <c:numRef>
              <c:f>Sheet1!$A$2:$A$22</c:f>
              <c:numCache>
                <c:formatCode>General</c:formatCode>
                <c:ptCount val="21"/>
                <c:pt idx="0">
                  <c:v>1999</c:v>
                </c:pt>
                <c:pt idx="1">
                  <c:v>2000</c:v>
                </c:pt>
                <c:pt idx="2">
                  <c:v>2001</c:v>
                </c:pt>
                <c:pt idx="3">
                  <c:v>2002</c:v>
                </c:pt>
                <c:pt idx="4">
                  <c:v>2003</c:v>
                </c:pt>
                <c:pt idx="5">
                  <c:v>2004</c:v>
                </c:pt>
                <c:pt idx="6">
                  <c:v>2005</c:v>
                </c:pt>
                <c:pt idx="7">
                  <c:v>2006</c:v>
                </c:pt>
                <c:pt idx="8">
                  <c:v>2007</c:v>
                </c:pt>
                <c:pt idx="9">
                  <c:v>2008</c:v>
                </c:pt>
                <c:pt idx="10">
                  <c:v>2009</c:v>
                </c:pt>
                <c:pt idx="11">
                  <c:v>2010</c:v>
                </c:pt>
                <c:pt idx="12">
                  <c:v>2011</c:v>
                </c:pt>
                <c:pt idx="13">
                  <c:v>2012</c:v>
                </c:pt>
                <c:pt idx="14">
                  <c:v>2013</c:v>
                </c:pt>
                <c:pt idx="15">
                  <c:v>2014</c:v>
                </c:pt>
                <c:pt idx="16">
                  <c:v>2015</c:v>
                </c:pt>
                <c:pt idx="17">
                  <c:v>2016</c:v>
                </c:pt>
                <c:pt idx="18">
                  <c:v>2017</c:v>
                </c:pt>
                <c:pt idx="19">
                  <c:v>2018</c:v>
                </c:pt>
                <c:pt idx="20">
                  <c:v>2019</c:v>
                </c:pt>
              </c:numCache>
            </c:numRef>
          </c:cat>
          <c:val>
            <c:numRef>
              <c:f>Sheet1!$E$2:$E$22</c:f>
              <c:numCache>
                <c:formatCode>0.0</c:formatCode>
                <c:ptCount val="21"/>
                <c:pt idx="0">
                  <c:v>125.89108235642406</c:v>
                </c:pt>
                <c:pt idx="1">
                  <c:v>214.65426866075398</c:v>
                </c:pt>
                <c:pt idx="2">
                  <c:v>284.30931050420259</c:v>
                </c:pt>
                <c:pt idx="3">
                  <c:v>337.10174395078491</c:v>
                </c:pt>
                <c:pt idx="4">
                  <c:v>381.04545970479717</c:v>
                </c:pt>
                <c:pt idx="5">
                  <c:v>416.25645830182373</c:v>
                </c:pt>
                <c:pt idx="6">
                  <c:v>442.90713347772549</c:v>
                </c:pt>
                <c:pt idx="7">
                  <c:v>466.30428759160412</c:v>
                </c:pt>
                <c:pt idx="8">
                  <c:v>478.79704678868558</c:v>
                </c:pt>
                <c:pt idx="9">
                  <c:v>487.16370184813576</c:v>
                </c:pt>
                <c:pt idx="10">
                  <c:v>489.39061197732531</c:v>
                </c:pt>
                <c:pt idx="11">
                  <c:v>487.64936388815579</c:v>
                </c:pt>
                <c:pt idx="12">
                  <c:v>484.06435593752394</c:v>
                </c:pt>
                <c:pt idx="13">
                  <c:v>471.45926120960075</c:v>
                </c:pt>
                <c:pt idx="14">
                  <c:v>457.95753197289781</c:v>
                </c:pt>
                <c:pt idx="15">
                  <c:v>446.18654664040139</c:v>
                </c:pt>
                <c:pt idx="16">
                  <c:v>433.33591155876775</c:v>
                </c:pt>
                <c:pt idx="17">
                  <c:v>408.01209020746819</c:v>
                </c:pt>
                <c:pt idx="18">
                  <c:v>382.48288933235159</c:v>
                </c:pt>
                <c:pt idx="19">
                  <c:v>357.61045677062265</c:v>
                </c:pt>
                <c:pt idx="20">
                  <c:v>334.67263605658758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553D-4B54-AC3B-6F4F6E91F920}"/>
            </c:ext>
          </c:extLst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Intermediate Asbestosis PR</c:v>
                </c:pt>
              </c:strCache>
            </c:strRef>
          </c:tx>
          <c:spPr>
            <a:ln w="28575" cap="rnd">
              <a:solidFill>
                <a:schemeClr val="tx1">
                  <a:lumMod val="50000"/>
                  <a:lumOff val="50000"/>
                </a:schemeClr>
              </a:solidFill>
              <a:prstDash val="dash"/>
              <a:round/>
            </a:ln>
            <a:effectLst/>
          </c:spPr>
          <c:marker>
            <c:symbol val="none"/>
          </c:marker>
          <c:cat>
            <c:numRef>
              <c:f>Sheet1!$A$2:$A$22</c:f>
              <c:numCache>
                <c:formatCode>General</c:formatCode>
                <c:ptCount val="21"/>
                <c:pt idx="0">
                  <c:v>1999</c:v>
                </c:pt>
                <c:pt idx="1">
                  <c:v>2000</c:v>
                </c:pt>
                <c:pt idx="2">
                  <c:v>2001</c:v>
                </c:pt>
                <c:pt idx="3">
                  <c:v>2002</c:v>
                </c:pt>
                <c:pt idx="4">
                  <c:v>2003</c:v>
                </c:pt>
                <c:pt idx="5">
                  <c:v>2004</c:v>
                </c:pt>
                <c:pt idx="6">
                  <c:v>2005</c:v>
                </c:pt>
                <c:pt idx="7">
                  <c:v>2006</c:v>
                </c:pt>
                <c:pt idx="8">
                  <c:v>2007</c:v>
                </c:pt>
                <c:pt idx="9">
                  <c:v>2008</c:v>
                </c:pt>
                <c:pt idx="10">
                  <c:v>2009</c:v>
                </c:pt>
                <c:pt idx="11">
                  <c:v>2010</c:v>
                </c:pt>
                <c:pt idx="12">
                  <c:v>2011</c:v>
                </c:pt>
                <c:pt idx="13">
                  <c:v>2012</c:v>
                </c:pt>
                <c:pt idx="14">
                  <c:v>2013</c:v>
                </c:pt>
                <c:pt idx="15">
                  <c:v>2014</c:v>
                </c:pt>
                <c:pt idx="16">
                  <c:v>2015</c:v>
                </c:pt>
                <c:pt idx="17">
                  <c:v>2016</c:v>
                </c:pt>
                <c:pt idx="18">
                  <c:v>2017</c:v>
                </c:pt>
                <c:pt idx="19">
                  <c:v>2018</c:v>
                </c:pt>
                <c:pt idx="20">
                  <c:v>2019</c:v>
                </c:pt>
              </c:numCache>
            </c:numRef>
          </c:cat>
          <c:val>
            <c:numRef>
              <c:f>Sheet1!$F$2:$F$22</c:f>
              <c:numCache>
                <c:formatCode>0.0</c:formatCode>
                <c:ptCount val="21"/>
                <c:pt idx="0">
                  <c:v>101.08569754420161</c:v>
                </c:pt>
                <c:pt idx="1">
                  <c:v>168.20010638908968</c:v>
                </c:pt>
                <c:pt idx="2">
                  <c:v>219.23792421934468</c:v>
                </c:pt>
                <c:pt idx="3">
                  <c:v>258.23420414884987</c:v>
                </c:pt>
                <c:pt idx="4">
                  <c:v>289.73099187624655</c:v>
                </c:pt>
                <c:pt idx="5">
                  <c:v>314.81012079148388</c:v>
                </c:pt>
                <c:pt idx="6">
                  <c:v>333.51124296549432</c:v>
                </c:pt>
                <c:pt idx="7">
                  <c:v>350.47373550923021</c:v>
                </c:pt>
                <c:pt idx="8">
                  <c:v>359.08560072041314</c:v>
                </c:pt>
                <c:pt idx="9">
                  <c:v>364.87585352105009</c:v>
                </c:pt>
                <c:pt idx="10">
                  <c:v>365.03578375845967</c:v>
                </c:pt>
                <c:pt idx="11">
                  <c:v>361.86311552050108</c:v>
                </c:pt>
                <c:pt idx="12">
                  <c:v>360.36782395928918</c:v>
                </c:pt>
                <c:pt idx="13">
                  <c:v>351.51956626441091</c:v>
                </c:pt>
                <c:pt idx="14">
                  <c:v>340.7509118633962</c:v>
                </c:pt>
                <c:pt idx="15">
                  <c:v>330.68082111398331</c:v>
                </c:pt>
                <c:pt idx="16">
                  <c:v>318.29790074437079</c:v>
                </c:pt>
                <c:pt idx="17">
                  <c:v>297.57314837759566</c:v>
                </c:pt>
                <c:pt idx="18">
                  <c:v>277.21698621055151</c:v>
                </c:pt>
                <c:pt idx="19">
                  <c:v>257.75364327276088</c:v>
                </c:pt>
                <c:pt idx="20">
                  <c:v>237.58688209891059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553D-4B54-AC3B-6F4F6E91F920}"/>
            </c:ext>
          </c:extLst>
        </c:ser>
        <c:ser>
          <c:idx val="5"/>
          <c:order val="5"/>
          <c:tx>
            <c:strRef>
              <c:f>Sheet1!$G$1</c:f>
              <c:strCache>
                <c:ptCount val="1"/>
                <c:pt idx="0">
                  <c:v>Narrow Asbestosis PR</c:v>
                </c:pt>
              </c:strCache>
            </c:strRef>
          </c:tx>
          <c:spPr>
            <a:ln w="28575" cap="rnd">
              <a:solidFill>
                <a:schemeClr val="tx1"/>
              </a:solidFill>
              <a:prstDash val="sysDot"/>
              <a:round/>
            </a:ln>
            <a:effectLst/>
          </c:spPr>
          <c:marker>
            <c:symbol val="none"/>
          </c:marker>
          <c:cat>
            <c:numRef>
              <c:f>Sheet1!$A$2:$A$22</c:f>
              <c:numCache>
                <c:formatCode>General</c:formatCode>
                <c:ptCount val="21"/>
                <c:pt idx="0">
                  <c:v>1999</c:v>
                </c:pt>
                <c:pt idx="1">
                  <c:v>2000</c:v>
                </c:pt>
                <c:pt idx="2">
                  <c:v>2001</c:v>
                </c:pt>
                <c:pt idx="3">
                  <c:v>2002</c:v>
                </c:pt>
                <c:pt idx="4">
                  <c:v>2003</c:v>
                </c:pt>
                <c:pt idx="5">
                  <c:v>2004</c:v>
                </c:pt>
                <c:pt idx="6">
                  <c:v>2005</c:v>
                </c:pt>
                <c:pt idx="7">
                  <c:v>2006</c:v>
                </c:pt>
                <c:pt idx="8">
                  <c:v>2007</c:v>
                </c:pt>
                <c:pt idx="9">
                  <c:v>2008</c:v>
                </c:pt>
                <c:pt idx="10">
                  <c:v>2009</c:v>
                </c:pt>
                <c:pt idx="11">
                  <c:v>2010</c:v>
                </c:pt>
                <c:pt idx="12">
                  <c:v>2011</c:v>
                </c:pt>
                <c:pt idx="13">
                  <c:v>2012</c:v>
                </c:pt>
                <c:pt idx="14">
                  <c:v>2013</c:v>
                </c:pt>
                <c:pt idx="15">
                  <c:v>2014</c:v>
                </c:pt>
                <c:pt idx="16">
                  <c:v>2015</c:v>
                </c:pt>
                <c:pt idx="17">
                  <c:v>2016</c:v>
                </c:pt>
                <c:pt idx="18">
                  <c:v>2017</c:v>
                </c:pt>
                <c:pt idx="19">
                  <c:v>2018</c:v>
                </c:pt>
                <c:pt idx="20">
                  <c:v>2019</c:v>
                </c:pt>
              </c:numCache>
            </c:numRef>
          </c:cat>
          <c:val>
            <c:numRef>
              <c:f>Sheet1!$G$2:$G$22</c:f>
              <c:numCache>
                <c:formatCode>0.0</c:formatCode>
                <c:ptCount val="21"/>
                <c:pt idx="0">
                  <c:v>62.679466044993276</c:v>
                </c:pt>
                <c:pt idx="1">
                  <c:v>106.23758420562351</c:v>
                </c:pt>
                <c:pt idx="2">
                  <c:v>138.5158256320282</c:v>
                </c:pt>
                <c:pt idx="3">
                  <c:v>162.0228010291014</c:v>
                </c:pt>
                <c:pt idx="4">
                  <c:v>181.1106148314885</c:v>
                </c:pt>
                <c:pt idx="5">
                  <c:v>195.45874249137802</c:v>
                </c:pt>
                <c:pt idx="6">
                  <c:v>218.17011396616493</c:v>
                </c:pt>
                <c:pt idx="7">
                  <c:v>228.10358850231319</c:v>
                </c:pt>
                <c:pt idx="8">
                  <c:v>230.86032534524949</c:v>
                </c:pt>
                <c:pt idx="9">
                  <c:v>230.74841220393094</c:v>
                </c:pt>
                <c:pt idx="10">
                  <c:v>229.00736103959571</c:v>
                </c:pt>
                <c:pt idx="11">
                  <c:v>227.57174715645692</c:v>
                </c:pt>
                <c:pt idx="12">
                  <c:v>227.08225005979972</c:v>
                </c:pt>
                <c:pt idx="13">
                  <c:v>222.81727665787886</c:v>
                </c:pt>
                <c:pt idx="14">
                  <c:v>216.71212612052724</c:v>
                </c:pt>
                <c:pt idx="15">
                  <c:v>211.35593293897585</c:v>
                </c:pt>
                <c:pt idx="16">
                  <c:v>205.83612522509597</c:v>
                </c:pt>
                <c:pt idx="17">
                  <c:v>193.6578269743749</c:v>
                </c:pt>
                <c:pt idx="18">
                  <c:v>182.63456577622546</c:v>
                </c:pt>
                <c:pt idx="19">
                  <c:v>173.949624303614</c:v>
                </c:pt>
                <c:pt idx="20">
                  <c:v>172.50459919632169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553D-4B54-AC3B-6F4F6E91F92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548656000"/>
        <c:axId val="1548650176"/>
      </c:lineChart>
      <c:catAx>
        <c:axId val="28452864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900" baseline="0"/>
                  <a:t>Year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540000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8451200"/>
        <c:crosses val="autoZero"/>
        <c:auto val="1"/>
        <c:lblAlgn val="ctr"/>
        <c:lblOffset val="100"/>
        <c:noMultiLvlLbl val="0"/>
      </c:catAx>
      <c:valAx>
        <c:axId val="28451200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900"/>
                  <a:t>Number of A</a:t>
                </a:r>
                <a:r>
                  <a:rPr lang="en-US" sz="1000" b="0" i="0" u="none" strike="noStrike" baseline="0">
                    <a:effectLst/>
                  </a:rPr>
                  <a:t>sbestosis </a:t>
                </a:r>
                <a:r>
                  <a:rPr lang="en-US" sz="900"/>
                  <a:t> Cases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8452864"/>
        <c:crossesAt val="1"/>
        <c:crossBetween val="between"/>
      </c:valAx>
      <c:valAx>
        <c:axId val="1548650176"/>
        <c:scaling>
          <c:orientation val="minMax"/>
          <c:max val="500"/>
          <c:min val="0"/>
        </c:scaling>
        <c:delete val="0"/>
        <c:axPos val="r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900" baseline="0"/>
                  <a:t>Cases per 100,000 Beneficiaries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@" sourceLinked="0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548656000"/>
        <c:crosses val="max"/>
        <c:crossBetween val="between"/>
        <c:majorUnit val="100"/>
      </c:valAx>
      <c:catAx>
        <c:axId val="1548656000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548650176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1.8161698889573537E-2"/>
          <c:y val="0.88494806966685668"/>
          <c:w val="0.95020065893438188"/>
          <c:h val="8.8848196301043764E-2"/>
        </c:manualLayout>
      </c:layout>
      <c:overlay val="0"/>
      <c:spPr>
        <a:noFill/>
        <a:ln>
          <a:noFill/>
          <a:prstDash val="dash"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/>
      </a:solidFill>
      <a:prstDash val="solid"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Broad Other/Unspec. Incidence</c:v>
                </c:pt>
              </c:strCache>
            </c:strRef>
          </c:tx>
          <c:spPr>
            <a:solidFill>
              <a:schemeClr val="tx1"/>
            </a:solidFill>
            <a:ln>
              <a:noFill/>
            </a:ln>
            <a:effectLst/>
          </c:spPr>
          <c:invertIfNegative val="0"/>
          <c:cat>
            <c:numRef>
              <c:f>Sheet1!$A$2:$A$19</c:f>
              <c:numCache>
                <c:formatCode>General</c:formatCode>
                <c:ptCount val="18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</c:numCache>
            </c:numRef>
          </c:cat>
          <c:val>
            <c:numRef>
              <c:f>Sheet1!$B$2:$B$19</c:f>
              <c:numCache>
                <c:formatCode>General</c:formatCode>
                <c:ptCount val="18"/>
                <c:pt idx="0">
                  <c:v>4700</c:v>
                </c:pt>
                <c:pt idx="1">
                  <c:v>4378</c:v>
                </c:pt>
                <c:pt idx="2">
                  <c:v>3668</c:v>
                </c:pt>
                <c:pt idx="3">
                  <c:v>3512</c:v>
                </c:pt>
                <c:pt idx="4">
                  <c:v>3078</c:v>
                </c:pt>
                <c:pt idx="5">
                  <c:v>3037</c:v>
                </c:pt>
                <c:pt idx="6">
                  <c:v>2695</c:v>
                </c:pt>
                <c:pt idx="7">
                  <c:v>2509</c:v>
                </c:pt>
                <c:pt idx="8">
                  <c:v>2355</c:v>
                </c:pt>
                <c:pt idx="9">
                  <c:v>2433</c:v>
                </c:pt>
                <c:pt idx="10">
                  <c:v>2503</c:v>
                </c:pt>
                <c:pt idx="11">
                  <c:v>2219</c:v>
                </c:pt>
                <c:pt idx="12">
                  <c:v>2039</c:v>
                </c:pt>
                <c:pt idx="13">
                  <c:v>2075</c:v>
                </c:pt>
                <c:pt idx="14">
                  <c:v>1997</c:v>
                </c:pt>
                <c:pt idx="15">
                  <c:v>1809</c:v>
                </c:pt>
                <c:pt idx="16">
                  <c:v>1756</c:v>
                </c:pt>
                <c:pt idx="17">
                  <c:v>1718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92A-42CC-A3F9-CC8896EA7A23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Intermediate Other/Unspec. Incidence</c:v>
                </c:pt>
              </c:strCache>
            </c:strRef>
          </c:tx>
          <c:spPr>
            <a:solidFill>
              <a:schemeClr val="tx1">
                <a:lumMod val="50000"/>
                <a:lumOff val="50000"/>
              </a:schemeClr>
            </a:solidFill>
            <a:ln>
              <a:solidFill>
                <a:schemeClr val="tx1">
                  <a:lumMod val="50000"/>
                  <a:lumOff val="50000"/>
                </a:schemeClr>
              </a:solidFill>
            </a:ln>
            <a:effectLst/>
          </c:spPr>
          <c:invertIfNegative val="0"/>
          <c:cat>
            <c:numRef>
              <c:f>Sheet1!$A$2:$A$19</c:f>
              <c:numCache>
                <c:formatCode>General</c:formatCode>
                <c:ptCount val="18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</c:numCache>
            </c:numRef>
          </c:cat>
          <c:val>
            <c:numRef>
              <c:f>Sheet1!$C$2:$C$19</c:f>
              <c:numCache>
                <c:formatCode>General</c:formatCode>
                <c:ptCount val="18"/>
                <c:pt idx="0">
                  <c:v>1723</c:v>
                </c:pt>
                <c:pt idx="1">
                  <c:v>1542</c:v>
                </c:pt>
                <c:pt idx="2">
                  <c:v>1405</c:v>
                </c:pt>
                <c:pt idx="3">
                  <c:v>1293</c:v>
                </c:pt>
                <c:pt idx="4">
                  <c:v>1192</c:v>
                </c:pt>
                <c:pt idx="5">
                  <c:v>1208</c:v>
                </c:pt>
                <c:pt idx="6">
                  <c:v>1085</c:v>
                </c:pt>
                <c:pt idx="7">
                  <c:v>1033</c:v>
                </c:pt>
                <c:pt idx="8">
                  <c:v>1014</c:v>
                </c:pt>
                <c:pt idx="9">
                  <c:v>1175</c:v>
                </c:pt>
                <c:pt idx="10">
                  <c:v>1212</c:v>
                </c:pt>
                <c:pt idx="11">
                  <c:v>1067</c:v>
                </c:pt>
                <c:pt idx="12">
                  <c:v>984</c:v>
                </c:pt>
                <c:pt idx="13">
                  <c:v>939</c:v>
                </c:pt>
                <c:pt idx="14">
                  <c:v>920</c:v>
                </c:pt>
                <c:pt idx="15">
                  <c:v>789</c:v>
                </c:pt>
                <c:pt idx="16">
                  <c:v>761</c:v>
                </c:pt>
                <c:pt idx="17">
                  <c:v>646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92A-42CC-A3F9-CC8896EA7A23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Narrow Other/Unspec. Incidence</c:v>
                </c:pt>
              </c:strCache>
            </c:strRef>
          </c:tx>
          <c:spPr>
            <a:solidFill>
              <a:schemeClr val="bg1"/>
            </a:solidFill>
            <a:ln>
              <a:solidFill>
                <a:schemeClr val="tx1"/>
              </a:solidFill>
            </a:ln>
            <a:effectLst/>
          </c:spPr>
          <c:invertIfNegative val="0"/>
          <c:cat>
            <c:numRef>
              <c:f>Sheet1!$A$2:$A$19</c:f>
              <c:numCache>
                <c:formatCode>General</c:formatCode>
                <c:ptCount val="18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</c:numCache>
            </c:numRef>
          </c:cat>
          <c:val>
            <c:numRef>
              <c:f>Sheet1!$D$2:$D$19</c:f>
              <c:numCache>
                <c:formatCode>General</c:formatCode>
                <c:ptCount val="18"/>
                <c:pt idx="0">
                  <c:v>1274</c:v>
                </c:pt>
                <c:pt idx="1">
                  <c:v>1088</c:v>
                </c:pt>
                <c:pt idx="2">
                  <c:v>1038</c:v>
                </c:pt>
                <c:pt idx="3">
                  <c:v>986</c:v>
                </c:pt>
                <c:pt idx="4">
                  <c:v>952</c:v>
                </c:pt>
                <c:pt idx="5">
                  <c:v>913</c:v>
                </c:pt>
                <c:pt idx="6">
                  <c:v>816</c:v>
                </c:pt>
                <c:pt idx="7">
                  <c:v>759</c:v>
                </c:pt>
                <c:pt idx="8">
                  <c:v>699</c:v>
                </c:pt>
                <c:pt idx="9">
                  <c:v>835</c:v>
                </c:pt>
                <c:pt idx="10">
                  <c:v>816</c:v>
                </c:pt>
                <c:pt idx="11">
                  <c:v>705</c:v>
                </c:pt>
                <c:pt idx="12">
                  <c:v>639</c:v>
                </c:pt>
                <c:pt idx="13">
                  <c:v>614</c:v>
                </c:pt>
                <c:pt idx="14">
                  <c:v>586</c:v>
                </c:pt>
                <c:pt idx="15">
                  <c:v>479</c:v>
                </c:pt>
                <c:pt idx="16">
                  <c:v>476</c:v>
                </c:pt>
                <c:pt idx="17">
                  <c:v>382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92A-42CC-A3F9-CC8896EA7A2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29279072"/>
        <c:axId val="28452032"/>
      </c:barChart>
      <c:lineChart>
        <c:grouping val="standard"/>
        <c:varyColors val="0"/>
        <c:ser>
          <c:idx val="3"/>
          <c:order val="3"/>
          <c:tx>
            <c:strRef>
              <c:f>Sheet1!$E$1</c:f>
              <c:strCache>
                <c:ptCount val="1"/>
                <c:pt idx="0">
                  <c:v>Broad Other/Unspec. IR</c:v>
                </c:pt>
              </c:strCache>
            </c:strRef>
          </c:tx>
          <c:spPr>
            <a:ln w="28575" cap="rnd">
              <a:solidFill>
                <a:schemeClr val="tx1"/>
              </a:solidFill>
              <a:prstDash val="lgDash"/>
              <a:round/>
            </a:ln>
            <a:effectLst/>
          </c:spPr>
          <c:marker>
            <c:symbol val="none"/>
          </c:marker>
          <c:cat>
            <c:numRef>
              <c:f>Sheet1!$A$2:$A$19</c:f>
              <c:numCache>
                <c:formatCode>General</c:formatCode>
                <c:ptCount val="18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</c:numCache>
            </c:numRef>
          </c:cat>
          <c:val>
            <c:numRef>
              <c:f>Sheet1!$E$2:$E$19</c:f>
              <c:numCache>
                <c:formatCode>0.0</c:formatCode>
                <c:ptCount val="18"/>
                <c:pt idx="0">
                  <c:v>19.305273050496023</c:v>
                </c:pt>
                <c:pt idx="1">
                  <c:v>17.710604594651876</c:v>
                </c:pt>
                <c:pt idx="2">
                  <c:v>14.351867249140669</c:v>
                </c:pt>
                <c:pt idx="3">
                  <c:v>13.311353932982033</c:v>
                </c:pt>
                <c:pt idx="4">
                  <c:v>11.586284714765659</c:v>
                </c:pt>
                <c:pt idx="5">
                  <c:v>11.708147382483086</c:v>
                </c:pt>
                <c:pt idx="6">
                  <c:v>10.608656198960604</c:v>
                </c:pt>
                <c:pt idx="7">
                  <c:v>10.061425625011429</c:v>
                </c:pt>
                <c:pt idx="8">
                  <c:v>9.503529178941891</c:v>
                </c:pt>
                <c:pt idx="9">
                  <c:v>9.8297192045563353</c:v>
                </c:pt>
                <c:pt idx="10">
                  <c:v>10.03696353422378</c:v>
                </c:pt>
                <c:pt idx="11">
                  <c:v>8.8246005844200113</c:v>
                </c:pt>
                <c:pt idx="12">
                  <c:v>8.097984741633379</c:v>
                </c:pt>
                <c:pt idx="13">
                  <c:v>8.2799776891512025</c:v>
                </c:pt>
                <c:pt idx="14">
                  <c:v>7.945790688535987</c:v>
                </c:pt>
                <c:pt idx="15">
                  <c:v>7.119347217647733</c:v>
                </c:pt>
                <c:pt idx="16">
                  <c:v>6.903527643654999</c:v>
                </c:pt>
                <c:pt idx="17">
                  <c:v>6.7516977100662228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A92A-42CC-A3F9-CC8896EA7A23}"/>
            </c:ext>
          </c:extLst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Intermediate Other/Unspec. IR</c:v>
                </c:pt>
              </c:strCache>
            </c:strRef>
          </c:tx>
          <c:spPr>
            <a:ln w="28575" cap="rnd">
              <a:solidFill>
                <a:schemeClr val="tx1"/>
              </a:solidFill>
              <a:prstDash val="dash"/>
              <a:round/>
            </a:ln>
            <a:effectLst/>
          </c:spPr>
          <c:marker>
            <c:symbol val="none"/>
          </c:marker>
          <c:cat>
            <c:numRef>
              <c:f>Sheet1!$A$2:$A$19</c:f>
              <c:numCache>
                <c:formatCode>General</c:formatCode>
                <c:ptCount val="18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</c:numCache>
            </c:numRef>
          </c:cat>
          <c:val>
            <c:numRef>
              <c:f>Sheet1!$F$2:$F$19</c:f>
              <c:numCache>
                <c:formatCode>0.0</c:formatCode>
                <c:ptCount val="18"/>
                <c:pt idx="0">
                  <c:v>7.0772309502137549</c:v>
                </c:pt>
                <c:pt idx="1">
                  <c:v>6.2379516411496549</c:v>
                </c:pt>
                <c:pt idx="2">
                  <c:v>5.4973755411784735</c:v>
                </c:pt>
                <c:pt idx="3">
                  <c:v>4.900791752661096</c:v>
                </c:pt>
                <c:pt idx="4">
                  <c:v>4.4869562638078833</c:v>
                </c:pt>
                <c:pt idx="5">
                  <c:v>4.6570438057423669</c:v>
                </c:pt>
                <c:pt idx="6">
                  <c:v>4.2710174307503728</c:v>
                </c:pt>
                <c:pt idx="7">
                  <c:v>4.1424681827966543</c:v>
                </c:pt>
                <c:pt idx="8">
                  <c:v>4.0919654299138335</c:v>
                </c:pt>
                <c:pt idx="9">
                  <c:v>4.747192792993709</c:v>
                </c:pt>
                <c:pt idx="10">
                  <c:v>4.8600878160124736</c:v>
                </c:pt>
                <c:pt idx="11">
                  <c:v>4.2432847334728034</c:v>
                </c:pt>
                <c:pt idx="12">
                  <c:v>3.9080024452021807</c:v>
                </c:pt>
                <c:pt idx="13">
                  <c:v>3.7469393012592667</c:v>
                </c:pt>
                <c:pt idx="14">
                  <c:v>3.6605545485493778</c:v>
                </c:pt>
                <c:pt idx="15">
                  <c:v>3.1051215891233066</c:v>
                </c:pt>
                <c:pt idx="16">
                  <c:v>2.9917907385088012</c:v>
                </c:pt>
                <c:pt idx="17">
                  <c:v>2.5387640981971948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A92A-42CC-A3F9-CC8896EA7A23}"/>
            </c:ext>
          </c:extLst>
        </c:ser>
        <c:ser>
          <c:idx val="5"/>
          <c:order val="5"/>
          <c:tx>
            <c:strRef>
              <c:f>Sheet1!$G$1</c:f>
              <c:strCache>
                <c:ptCount val="1"/>
                <c:pt idx="0">
                  <c:v>Narrow Other/Unspec. IR</c:v>
                </c:pt>
              </c:strCache>
            </c:strRef>
          </c:tx>
          <c:spPr>
            <a:ln w="28575" cap="rnd">
              <a:solidFill>
                <a:schemeClr val="tx1"/>
              </a:solidFill>
              <a:prstDash val="sysDot"/>
              <a:round/>
            </a:ln>
            <a:effectLst/>
          </c:spPr>
          <c:marker>
            <c:symbol val="none"/>
          </c:marker>
          <c:cat>
            <c:numRef>
              <c:f>Sheet1!$A$2:$A$19</c:f>
              <c:numCache>
                <c:formatCode>General</c:formatCode>
                <c:ptCount val="18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</c:numCache>
            </c:numRef>
          </c:cat>
          <c:val>
            <c:numRef>
              <c:f>Sheet1!$G$2:$G$19</c:f>
              <c:numCache>
                <c:formatCode>0.0</c:formatCode>
                <c:ptCount val="18"/>
                <c:pt idx="0">
                  <c:v>5.2329612481557302</c:v>
                </c:pt>
                <c:pt idx="1">
                  <c:v>4.4013562811743352</c:v>
                </c:pt>
                <c:pt idx="2">
                  <c:v>4.0614062717033841</c:v>
                </c:pt>
                <c:pt idx="3">
                  <c:v>3.7371853581777579</c:v>
                </c:pt>
                <c:pt idx="4">
                  <c:v>3.5835422509606585</c:v>
                </c:pt>
                <c:pt idx="5">
                  <c:v>3.5197690353003153</c:v>
                </c:pt>
                <c:pt idx="6">
                  <c:v>3.2121200216518933</c:v>
                </c:pt>
                <c:pt idx="7">
                  <c:v>3.043691530244589</c:v>
                </c:pt>
                <c:pt idx="8">
                  <c:v>2.8207927371891217</c:v>
                </c:pt>
                <c:pt idx="9">
                  <c:v>3.373537006084891</c:v>
                </c:pt>
                <c:pt idx="10">
                  <c:v>3.2721383315727541</c:v>
                </c:pt>
                <c:pt idx="11">
                  <c:v>2.8036698566994627</c:v>
                </c:pt>
                <c:pt idx="12">
                  <c:v>2.5378186610611717</c:v>
                </c:pt>
                <c:pt idx="13">
                  <c:v>2.4500753258500425</c:v>
                </c:pt>
                <c:pt idx="14">
                  <c:v>2.3316140928803648</c:v>
                </c:pt>
                <c:pt idx="15">
                  <c:v>1.8851118392776471</c:v>
                </c:pt>
                <c:pt idx="16">
                  <c:v>1.8713434842709453</c:v>
                </c:pt>
                <c:pt idx="17">
                  <c:v>1.5012505967667622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A92A-42CC-A3F9-CC8896EA7A2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069967248"/>
        <c:axId val="1069969744"/>
      </c:lineChart>
      <c:catAx>
        <c:axId val="29279072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900"/>
                  <a:t>Year</a:t>
                </a:r>
              </a:p>
            </c:rich>
          </c:tx>
          <c:layout>
            <c:manualLayout>
              <c:xMode val="edge"/>
              <c:yMode val="edge"/>
              <c:x val="0.48499348018598903"/>
              <c:y val="0.71379586985589061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5400000" spcFirstLastPara="1" vertOverflow="ellipsis" wrap="square" anchor="t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8452032"/>
        <c:crosses val="autoZero"/>
        <c:auto val="1"/>
        <c:lblAlgn val="ctr"/>
        <c:lblOffset val="100"/>
        <c:noMultiLvlLbl val="0"/>
      </c:catAx>
      <c:valAx>
        <c:axId val="28452032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900"/>
                  <a:t>Number of </a:t>
                </a:r>
                <a:r>
                  <a:rPr lang="en-US" sz="1000" b="0" i="0" u="none" strike="noStrike" baseline="0">
                    <a:effectLst/>
                  </a:rPr>
                  <a:t>Other/Unspecified </a:t>
                </a:r>
                <a:r>
                  <a:rPr lang="en-US" sz="900"/>
                  <a:t>C</a:t>
                </a:r>
                <a:r>
                  <a:rPr lang="en-US" sz="900" baseline="0"/>
                  <a:t>ases</a:t>
                </a:r>
                <a:endParaRPr lang="en-US" sz="900"/>
              </a:p>
            </c:rich>
          </c:tx>
          <c:layout>
            <c:manualLayout>
              <c:xMode val="edge"/>
              <c:yMode val="edge"/>
              <c:x val="1.9584802193497845E-2"/>
              <c:y val="0.16061595602436488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9279072"/>
        <c:crosses val="autoZero"/>
        <c:crossBetween val="between"/>
      </c:valAx>
      <c:valAx>
        <c:axId val="1069969744"/>
        <c:scaling>
          <c:orientation val="minMax"/>
          <c:max val="50"/>
          <c:min val="0"/>
        </c:scaling>
        <c:delete val="0"/>
        <c:axPos val="r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900" baseline="0"/>
                  <a:t>Cases per 100,000 Beneficiaries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0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069967248"/>
        <c:crosses val="max"/>
        <c:crossBetween val="between"/>
        <c:majorUnit val="10"/>
      </c:valAx>
      <c:catAx>
        <c:axId val="1069967248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069969744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"/>
          <c:y val="0.82724584239000198"/>
          <c:w val="1"/>
          <c:h val="0.1154680852863316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Broad Asbestosis Incidence</c:v>
                </c:pt>
              </c:strCache>
            </c:strRef>
          </c:tx>
          <c:spPr>
            <a:solidFill>
              <a:schemeClr val="tx1"/>
            </a:solidFill>
            <a:ln>
              <a:solidFill>
                <a:schemeClr val="tx1"/>
              </a:solidFill>
            </a:ln>
            <a:effectLst/>
          </c:spPr>
          <c:invertIfNegative val="0"/>
          <c:cat>
            <c:numRef>
              <c:f>Sheet1!$A$2:$A$19</c:f>
              <c:numCache>
                <c:formatCode>General</c:formatCode>
                <c:ptCount val="18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</c:numCache>
            </c:numRef>
          </c:cat>
          <c:val>
            <c:numRef>
              <c:f>Sheet1!$B$2:$B$19</c:f>
              <c:numCache>
                <c:formatCode>_(* #,##0_);_(* \(#,##0\);_(* "-"??_);_(@_)</c:formatCode>
                <c:ptCount val="18"/>
                <c:pt idx="0">
                  <c:v>20643</c:v>
                </c:pt>
                <c:pt idx="1">
                  <c:v>19645</c:v>
                </c:pt>
                <c:pt idx="2">
                  <c:v>18991</c:v>
                </c:pt>
                <c:pt idx="3">
                  <c:v>18054</c:v>
                </c:pt>
                <c:pt idx="4">
                  <c:v>16316</c:v>
                </c:pt>
                <c:pt idx="5">
                  <c:v>15311</c:v>
                </c:pt>
                <c:pt idx="6">
                  <c:v>14254</c:v>
                </c:pt>
                <c:pt idx="7">
                  <c:v>13239</c:v>
                </c:pt>
                <c:pt idx="8">
                  <c:v>12582</c:v>
                </c:pt>
                <c:pt idx="9">
                  <c:v>13277</c:v>
                </c:pt>
                <c:pt idx="10">
                  <c:v>12319</c:v>
                </c:pt>
                <c:pt idx="11">
                  <c:v>11484</c:v>
                </c:pt>
                <c:pt idx="12">
                  <c:v>10552</c:v>
                </c:pt>
                <c:pt idx="13">
                  <c:v>10256</c:v>
                </c:pt>
                <c:pt idx="14">
                  <c:v>8128</c:v>
                </c:pt>
                <c:pt idx="15">
                  <c:v>7343</c:v>
                </c:pt>
                <c:pt idx="16">
                  <c:v>6331</c:v>
                </c:pt>
                <c:pt idx="17">
                  <c:v>5797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0A7-482F-85B5-A60E0916F8B8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Intermediate Asbestosis Incidence</c:v>
                </c:pt>
              </c:strCache>
            </c:strRef>
          </c:tx>
          <c:spPr>
            <a:solidFill>
              <a:schemeClr val="tx1">
                <a:lumMod val="50000"/>
                <a:lumOff val="50000"/>
              </a:schemeClr>
            </a:solidFill>
            <a:ln>
              <a:solidFill>
                <a:schemeClr val="tx1">
                  <a:lumMod val="50000"/>
                  <a:lumOff val="50000"/>
                </a:schemeClr>
              </a:solidFill>
            </a:ln>
            <a:effectLst/>
          </c:spPr>
          <c:invertIfNegative val="0"/>
          <c:cat>
            <c:numRef>
              <c:f>Sheet1!$A$2:$A$19</c:f>
              <c:numCache>
                <c:formatCode>General</c:formatCode>
                <c:ptCount val="18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</c:numCache>
            </c:numRef>
          </c:cat>
          <c:val>
            <c:numRef>
              <c:f>Sheet1!$C$2:$C$19</c:f>
              <c:numCache>
                <c:formatCode>General</c:formatCode>
                <c:ptCount val="18"/>
                <c:pt idx="0">
                  <c:v>15175</c:v>
                </c:pt>
                <c:pt idx="1">
                  <c:v>14114</c:v>
                </c:pt>
                <c:pt idx="2">
                  <c:v>13465</c:v>
                </c:pt>
                <c:pt idx="3">
                  <c:v>12681</c:v>
                </c:pt>
                <c:pt idx="4">
                  <c:v>11409</c:v>
                </c:pt>
                <c:pt idx="5">
                  <c:v>10637</c:v>
                </c:pt>
                <c:pt idx="6">
                  <c:v>10031</c:v>
                </c:pt>
                <c:pt idx="7">
                  <c:v>9096</c:v>
                </c:pt>
                <c:pt idx="8">
                  <c:v>8509</c:v>
                </c:pt>
                <c:pt idx="9">
                  <c:v>9580</c:v>
                </c:pt>
                <c:pt idx="10">
                  <c:v>8944</c:v>
                </c:pt>
                <c:pt idx="11">
                  <c:v>8157</c:v>
                </c:pt>
                <c:pt idx="12">
                  <c:v>7406</c:v>
                </c:pt>
                <c:pt idx="13">
                  <c:v>6706</c:v>
                </c:pt>
                <c:pt idx="14">
                  <c:v>5487</c:v>
                </c:pt>
                <c:pt idx="15">
                  <c:v>4929</c:v>
                </c:pt>
                <c:pt idx="16">
                  <c:v>4221</c:v>
                </c:pt>
                <c:pt idx="17">
                  <c:v>3316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0A7-482F-85B5-A60E0916F8B8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Narrow Asbestosis Incidence</c:v>
                </c:pt>
              </c:strCache>
            </c:strRef>
          </c:tx>
          <c:spPr>
            <a:solidFill>
              <a:schemeClr val="bg1"/>
            </a:solidFill>
            <a:ln>
              <a:solidFill>
                <a:schemeClr val="tx1"/>
              </a:solidFill>
            </a:ln>
            <a:effectLst/>
          </c:spPr>
          <c:invertIfNegative val="0"/>
          <c:cat>
            <c:numRef>
              <c:f>Sheet1!$A$2:$A$19</c:f>
              <c:numCache>
                <c:formatCode>General</c:formatCode>
                <c:ptCount val="18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</c:numCache>
            </c:numRef>
          </c:cat>
          <c:val>
            <c:numRef>
              <c:f>Sheet1!$D$2:$D$19</c:f>
              <c:numCache>
                <c:formatCode>General</c:formatCode>
                <c:ptCount val="18"/>
                <c:pt idx="0">
                  <c:v>13005</c:v>
                </c:pt>
                <c:pt idx="1">
                  <c:v>12041</c:v>
                </c:pt>
                <c:pt idx="2">
                  <c:v>11478</c:v>
                </c:pt>
                <c:pt idx="3">
                  <c:v>11128</c:v>
                </c:pt>
                <c:pt idx="4">
                  <c:v>9703</c:v>
                </c:pt>
                <c:pt idx="5">
                  <c:v>8793</c:v>
                </c:pt>
                <c:pt idx="6">
                  <c:v>8086</c:v>
                </c:pt>
                <c:pt idx="7">
                  <c:v>7214</c:v>
                </c:pt>
                <c:pt idx="8">
                  <c:v>6637</c:v>
                </c:pt>
                <c:pt idx="9">
                  <c:v>7578</c:v>
                </c:pt>
                <c:pt idx="10">
                  <c:v>7034</c:v>
                </c:pt>
                <c:pt idx="11">
                  <c:v>6336</c:v>
                </c:pt>
                <c:pt idx="12">
                  <c:v>5658</c:v>
                </c:pt>
                <c:pt idx="13">
                  <c:v>4975</c:v>
                </c:pt>
                <c:pt idx="14">
                  <c:v>3998</c:v>
                </c:pt>
                <c:pt idx="15">
                  <c:v>3604</c:v>
                </c:pt>
                <c:pt idx="16">
                  <c:v>2981</c:v>
                </c:pt>
                <c:pt idx="17">
                  <c:v>2463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0A7-482F-85B5-A60E0916F8B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29279072"/>
        <c:axId val="28452032"/>
      </c:barChart>
      <c:lineChart>
        <c:grouping val="standard"/>
        <c:varyColors val="0"/>
        <c:ser>
          <c:idx val="3"/>
          <c:order val="3"/>
          <c:tx>
            <c:strRef>
              <c:f>Sheet1!$E$1</c:f>
              <c:strCache>
                <c:ptCount val="1"/>
                <c:pt idx="0">
                  <c:v>Broad Asbestosis IR</c:v>
                </c:pt>
              </c:strCache>
            </c:strRef>
          </c:tx>
          <c:spPr>
            <a:ln w="28575" cap="rnd">
              <a:solidFill>
                <a:schemeClr val="tx1"/>
              </a:solidFill>
              <a:prstDash val="lgDash"/>
              <a:round/>
            </a:ln>
            <a:effectLst/>
          </c:spPr>
          <c:marker>
            <c:symbol val="none"/>
          </c:marker>
          <c:cat>
            <c:numRef>
              <c:f>Sheet1!$A$2:$A$19</c:f>
              <c:numCache>
                <c:formatCode>General</c:formatCode>
                <c:ptCount val="18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</c:numCache>
            </c:numRef>
          </c:cat>
          <c:val>
            <c:numRef>
              <c:f>Sheet1!$E$2:$E$19</c:f>
              <c:numCache>
                <c:formatCode>0.0</c:formatCode>
                <c:ptCount val="18"/>
                <c:pt idx="0">
                  <c:v>84.791223740721151</c:v>
                </c:pt>
                <c:pt idx="1">
                  <c:v>79.471180279108282</c:v>
                </c:pt>
                <c:pt idx="2">
                  <c:v>74.306518791829447</c:v>
                </c:pt>
                <c:pt idx="3">
                  <c:v>68.429152592841007</c:v>
                </c:pt>
                <c:pt idx="4">
                  <c:v>61.417095973397167</c:v>
                </c:pt>
                <c:pt idx="5">
                  <c:v>59.026488170299153</c:v>
                </c:pt>
                <c:pt idx="6">
                  <c:v>56.109753417433929</c:v>
                </c:pt>
                <c:pt idx="7">
                  <c:v>53.090160960353252</c:v>
                </c:pt>
                <c:pt idx="8">
                  <c:v>50.774269269404193</c:v>
                </c:pt>
                <c:pt idx="9">
                  <c:v>53.641258478789346</c:v>
                </c:pt>
                <c:pt idx="10">
                  <c:v>49.398862875790151</c:v>
                </c:pt>
                <c:pt idx="11">
                  <c:v>45.669992389129973</c:v>
                </c:pt>
                <c:pt idx="12">
                  <c:v>41.907766058712816</c:v>
                </c:pt>
                <c:pt idx="13">
                  <c:v>40.925036713221559</c:v>
                </c:pt>
                <c:pt idx="14">
                  <c:v>32.340203663705815</c:v>
                </c:pt>
                <c:pt idx="15">
                  <c:v>28.898489010053787</c:v>
                </c:pt>
                <c:pt idx="16">
                  <c:v>24.889654619578476</c:v>
                </c:pt>
                <c:pt idx="17">
                  <c:v>22.782067302243245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D0A7-482F-85B5-A60E0916F8B8}"/>
            </c:ext>
          </c:extLst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Intermediate Asbestosis IR</c:v>
                </c:pt>
              </c:strCache>
            </c:strRef>
          </c:tx>
          <c:spPr>
            <a:ln w="28575" cap="rnd">
              <a:solidFill>
                <a:schemeClr val="tx1">
                  <a:lumMod val="50000"/>
                  <a:lumOff val="50000"/>
                </a:schemeClr>
              </a:solidFill>
              <a:prstDash val="dash"/>
              <a:round/>
            </a:ln>
            <a:effectLst/>
          </c:spPr>
          <c:marker>
            <c:symbol val="none"/>
          </c:marker>
          <c:cat>
            <c:numRef>
              <c:f>Sheet1!$A$2:$A$19</c:f>
              <c:numCache>
                <c:formatCode>General</c:formatCode>
                <c:ptCount val="18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</c:numCache>
            </c:numRef>
          </c:cat>
          <c:val>
            <c:numRef>
              <c:f>Sheet1!$F$2:$F$19</c:f>
              <c:numCache>
                <c:formatCode>0.0</c:formatCode>
                <c:ptCount val="18"/>
                <c:pt idx="0">
                  <c:v>62.331386923675986</c:v>
                </c:pt>
                <c:pt idx="1">
                  <c:v>57.096270728395744</c:v>
                </c:pt>
                <c:pt idx="2">
                  <c:v>52.684812570795827</c:v>
                </c:pt>
                <c:pt idx="3">
                  <c:v>48.064145564961606</c:v>
                </c:pt>
                <c:pt idx="4">
                  <c:v>42.946043635724948</c:v>
                </c:pt>
                <c:pt idx="5">
                  <c:v>41.007429604041022</c:v>
                </c:pt>
                <c:pt idx="6">
                  <c:v>39.486245021066352</c:v>
                </c:pt>
                <c:pt idx="7">
                  <c:v>36.476176757713816</c:v>
                </c:pt>
                <c:pt idx="8">
                  <c:v>34.337804579030383</c:v>
                </c:pt>
                <c:pt idx="9">
                  <c:v>38.704771878195515</c:v>
                </c:pt>
                <c:pt idx="10">
                  <c:v>35.865202497042546</c:v>
                </c:pt>
                <c:pt idx="11">
                  <c:v>32.439056767514202</c:v>
                </c:pt>
                <c:pt idx="12">
                  <c:v>29.413278566226978</c:v>
                </c:pt>
                <c:pt idx="13">
                  <c:v>26.759291751059262</c:v>
                </c:pt>
                <c:pt idx="14">
                  <c:v>21.832024791185258</c:v>
                </c:pt>
                <c:pt idx="15">
                  <c:v>19.398155022545975</c:v>
                </c:pt>
                <c:pt idx="16">
                  <c:v>16.594413544343823</c:v>
                </c:pt>
                <c:pt idx="17">
                  <c:v>13.031798374027705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D0A7-482F-85B5-A60E0916F8B8}"/>
            </c:ext>
          </c:extLst>
        </c:ser>
        <c:ser>
          <c:idx val="5"/>
          <c:order val="5"/>
          <c:tx>
            <c:strRef>
              <c:f>Sheet1!$G$1</c:f>
              <c:strCache>
                <c:ptCount val="1"/>
                <c:pt idx="0">
                  <c:v>Narrow Asbestosis IR</c:v>
                </c:pt>
              </c:strCache>
            </c:strRef>
          </c:tx>
          <c:spPr>
            <a:ln w="28575" cap="rnd">
              <a:solidFill>
                <a:schemeClr val="tx1"/>
              </a:solidFill>
              <a:prstDash val="sysDot"/>
              <a:round/>
            </a:ln>
            <a:effectLst/>
          </c:spPr>
          <c:marker>
            <c:symbol val="none"/>
          </c:marker>
          <c:cat>
            <c:numRef>
              <c:f>Sheet1!$A$2:$A$19</c:f>
              <c:numCache>
                <c:formatCode>General</c:formatCode>
                <c:ptCount val="18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</c:numCache>
            </c:numRef>
          </c:cat>
          <c:val>
            <c:numRef>
              <c:f>Sheet1!$G$2:$G$19</c:f>
              <c:numCache>
                <c:formatCode>0.0</c:formatCode>
                <c:ptCount val="18"/>
                <c:pt idx="0">
                  <c:v>53.418101281212927</c:v>
                </c:pt>
                <c:pt idx="1">
                  <c:v>48.710230681636183</c:v>
                </c:pt>
                <c:pt idx="2">
                  <c:v>44.910232357043782</c:v>
                </c:pt>
                <c:pt idx="3">
                  <c:v>42.17788911338954</c:v>
                </c:pt>
                <c:pt idx="4">
                  <c:v>36.524275694402597</c:v>
                </c:pt>
                <c:pt idx="5">
                  <c:v>33.898498496599856</c:v>
                </c:pt>
                <c:pt idx="6">
                  <c:v>31.829905018476971</c:v>
                </c:pt>
                <c:pt idx="7">
                  <c:v>28.929105005513133</c:v>
                </c:pt>
                <c:pt idx="8">
                  <c:v>26.783406862266382</c:v>
                </c:pt>
                <c:pt idx="9">
                  <c:v>30.616363391750067</c:v>
                </c:pt>
                <c:pt idx="10">
                  <c:v>28.206153216032785</c:v>
                </c:pt>
                <c:pt idx="11">
                  <c:v>25.197237180209637</c:v>
                </c:pt>
                <c:pt idx="12">
                  <c:v>22.471014059912537</c:v>
                </c:pt>
                <c:pt idx="13">
                  <c:v>19.851994700495052</c:v>
                </c:pt>
                <c:pt idx="14">
                  <c:v>15.907496831630882</c:v>
                </c:pt>
                <c:pt idx="15">
                  <c:v>14.183597220786305</c:v>
                </c:pt>
                <c:pt idx="16">
                  <c:v>11.71948513994052</c:v>
                </c:pt>
                <c:pt idx="17">
                  <c:v>9.6795293712998305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D0A7-482F-85B5-A60E0916F8B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069967248"/>
        <c:axId val="1069969744"/>
      </c:lineChart>
      <c:catAx>
        <c:axId val="29279072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900"/>
                  <a:t>Year</a:t>
                </a:r>
              </a:p>
            </c:rich>
          </c:tx>
          <c:layout>
            <c:manualLayout>
              <c:xMode val="edge"/>
              <c:yMode val="edge"/>
              <c:x val="0.48880258210966882"/>
              <c:y val="0.71002228495023023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5400000" spcFirstLastPara="1" vertOverflow="ellipsis" wrap="square" anchor="t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8452032"/>
        <c:crosses val="autoZero"/>
        <c:auto val="1"/>
        <c:lblAlgn val="ctr"/>
        <c:lblOffset val="100"/>
        <c:noMultiLvlLbl val="0"/>
      </c:catAx>
      <c:valAx>
        <c:axId val="28452032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900"/>
                  <a:t>Number of </a:t>
                </a:r>
                <a:r>
                  <a:rPr lang="en-US" sz="1000" b="0" i="0" u="none" strike="noStrike" baseline="0">
                    <a:effectLst/>
                  </a:rPr>
                  <a:t>Asbestosis </a:t>
                </a:r>
                <a:r>
                  <a:rPr lang="en-US" sz="900" baseline="0"/>
                  <a:t>Cases</a:t>
                </a:r>
                <a:endParaRPr lang="en-US" sz="900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9279072"/>
        <c:crosses val="autoZero"/>
        <c:crossBetween val="between"/>
      </c:valAx>
      <c:valAx>
        <c:axId val="1069969744"/>
        <c:scaling>
          <c:orientation val="minMax"/>
          <c:min val="0"/>
        </c:scaling>
        <c:delete val="0"/>
        <c:axPos val="r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900" baseline="0"/>
                  <a:t>Cases per 100,000 Beneficiaries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0" sourceLinked="0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069967248"/>
        <c:crosses val="max"/>
        <c:crossBetween val="between"/>
        <c:majorUnit val="50"/>
      </c:valAx>
      <c:catAx>
        <c:axId val="1069967248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069969744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9.1709306019473781E-3"/>
          <c:y val="0.82724584239000198"/>
          <c:w val="0.97569880733180969"/>
          <c:h val="0.1154680852863316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1397213714913133"/>
          <c:y val="3.8128249566724434E-2"/>
          <c:w val="0.80276469554114194"/>
          <c:h val="0.7315995032683306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Broad CWP Prevalence</c:v>
                </c:pt>
              </c:strCache>
            </c:strRef>
          </c:tx>
          <c:spPr>
            <a:solidFill>
              <a:schemeClr val="tx1"/>
            </a:solidFill>
            <a:ln>
              <a:solidFill>
                <a:schemeClr val="tx1"/>
              </a:solidFill>
            </a:ln>
            <a:effectLst/>
          </c:spPr>
          <c:invertIfNegative val="0"/>
          <c:cat>
            <c:numRef>
              <c:f>Sheet1!$A$2:$A$22</c:f>
              <c:numCache>
                <c:formatCode>General</c:formatCode>
                <c:ptCount val="21"/>
                <c:pt idx="0">
                  <c:v>1999</c:v>
                </c:pt>
                <c:pt idx="1">
                  <c:v>2000</c:v>
                </c:pt>
                <c:pt idx="2">
                  <c:v>2001</c:v>
                </c:pt>
                <c:pt idx="3">
                  <c:v>2002</c:v>
                </c:pt>
                <c:pt idx="4">
                  <c:v>2003</c:v>
                </c:pt>
                <c:pt idx="5">
                  <c:v>2004</c:v>
                </c:pt>
                <c:pt idx="6">
                  <c:v>2005</c:v>
                </c:pt>
                <c:pt idx="7">
                  <c:v>2006</c:v>
                </c:pt>
                <c:pt idx="8">
                  <c:v>2007</c:v>
                </c:pt>
                <c:pt idx="9">
                  <c:v>2008</c:v>
                </c:pt>
                <c:pt idx="10">
                  <c:v>2009</c:v>
                </c:pt>
                <c:pt idx="11">
                  <c:v>2010</c:v>
                </c:pt>
                <c:pt idx="12">
                  <c:v>2011</c:v>
                </c:pt>
                <c:pt idx="13">
                  <c:v>2012</c:v>
                </c:pt>
                <c:pt idx="14">
                  <c:v>2013</c:v>
                </c:pt>
                <c:pt idx="15">
                  <c:v>2014</c:v>
                </c:pt>
                <c:pt idx="16">
                  <c:v>2015</c:v>
                </c:pt>
                <c:pt idx="17">
                  <c:v>2016</c:v>
                </c:pt>
                <c:pt idx="18">
                  <c:v>2017</c:v>
                </c:pt>
                <c:pt idx="19">
                  <c:v>2018</c:v>
                </c:pt>
                <c:pt idx="20">
                  <c:v>2019</c:v>
                </c:pt>
              </c:numCache>
            </c:numRef>
          </c:cat>
          <c:val>
            <c:numRef>
              <c:f>Sheet1!$B$2:$B$22</c:f>
              <c:numCache>
                <c:formatCode>General</c:formatCode>
                <c:ptCount val="21"/>
                <c:pt idx="0">
                  <c:v>16514</c:v>
                </c:pt>
                <c:pt idx="1">
                  <c:v>25917</c:v>
                </c:pt>
                <c:pt idx="2">
                  <c:v>33003</c:v>
                </c:pt>
                <c:pt idx="3">
                  <c:v>38430</c:v>
                </c:pt>
                <c:pt idx="4">
                  <c:v>42501</c:v>
                </c:pt>
                <c:pt idx="5">
                  <c:v>45153</c:v>
                </c:pt>
                <c:pt idx="6">
                  <c:v>46675</c:v>
                </c:pt>
                <c:pt idx="7">
                  <c:v>47275</c:v>
                </c:pt>
                <c:pt idx="8">
                  <c:v>48525</c:v>
                </c:pt>
                <c:pt idx="9">
                  <c:v>52139</c:v>
                </c:pt>
                <c:pt idx="10">
                  <c:v>52694</c:v>
                </c:pt>
                <c:pt idx="11">
                  <c:v>53304</c:v>
                </c:pt>
                <c:pt idx="12">
                  <c:v>51983</c:v>
                </c:pt>
                <c:pt idx="13">
                  <c:v>50177</c:v>
                </c:pt>
                <c:pt idx="14">
                  <c:v>47889</c:v>
                </c:pt>
                <c:pt idx="15">
                  <c:v>44172</c:v>
                </c:pt>
                <c:pt idx="16">
                  <c:v>43487</c:v>
                </c:pt>
                <c:pt idx="17">
                  <c:v>42346</c:v>
                </c:pt>
                <c:pt idx="18">
                  <c:v>39677</c:v>
                </c:pt>
                <c:pt idx="19">
                  <c:v>38331</c:v>
                </c:pt>
                <c:pt idx="20">
                  <c:v>36158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E51-4467-8D08-620D53972698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Intermediate CWP Prevalence</c:v>
                </c:pt>
              </c:strCache>
            </c:strRef>
          </c:tx>
          <c:spPr>
            <a:solidFill>
              <a:schemeClr val="tx1">
                <a:lumMod val="50000"/>
                <a:lumOff val="50000"/>
              </a:schemeClr>
            </a:solidFill>
            <a:ln>
              <a:solidFill>
                <a:schemeClr val="tx1">
                  <a:lumMod val="50000"/>
                  <a:lumOff val="50000"/>
                </a:schemeClr>
              </a:solidFill>
            </a:ln>
            <a:effectLst/>
          </c:spPr>
          <c:invertIfNegative val="0"/>
          <c:cat>
            <c:numRef>
              <c:f>Sheet1!$A$2:$A$22</c:f>
              <c:numCache>
                <c:formatCode>General</c:formatCode>
                <c:ptCount val="21"/>
                <c:pt idx="0">
                  <c:v>1999</c:v>
                </c:pt>
                <c:pt idx="1">
                  <c:v>2000</c:v>
                </c:pt>
                <c:pt idx="2">
                  <c:v>2001</c:v>
                </c:pt>
                <c:pt idx="3">
                  <c:v>2002</c:v>
                </c:pt>
                <c:pt idx="4">
                  <c:v>2003</c:v>
                </c:pt>
                <c:pt idx="5">
                  <c:v>2004</c:v>
                </c:pt>
                <c:pt idx="6">
                  <c:v>2005</c:v>
                </c:pt>
                <c:pt idx="7">
                  <c:v>2006</c:v>
                </c:pt>
                <c:pt idx="8">
                  <c:v>2007</c:v>
                </c:pt>
                <c:pt idx="9">
                  <c:v>2008</c:v>
                </c:pt>
                <c:pt idx="10">
                  <c:v>2009</c:v>
                </c:pt>
                <c:pt idx="11">
                  <c:v>2010</c:v>
                </c:pt>
                <c:pt idx="12">
                  <c:v>2011</c:v>
                </c:pt>
                <c:pt idx="13">
                  <c:v>2012</c:v>
                </c:pt>
                <c:pt idx="14">
                  <c:v>2013</c:v>
                </c:pt>
                <c:pt idx="15">
                  <c:v>2014</c:v>
                </c:pt>
                <c:pt idx="16">
                  <c:v>2015</c:v>
                </c:pt>
                <c:pt idx="17">
                  <c:v>2016</c:v>
                </c:pt>
                <c:pt idx="18">
                  <c:v>2017</c:v>
                </c:pt>
                <c:pt idx="19">
                  <c:v>2018</c:v>
                </c:pt>
                <c:pt idx="20">
                  <c:v>2019</c:v>
                </c:pt>
              </c:numCache>
            </c:numRef>
          </c:cat>
          <c:val>
            <c:numRef>
              <c:f>Sheet1!$C$2:$C$22</c:f>
              <c:numCache>
                <c:formatCode>General</c:formatCode>
                <c:ptCount val="21"/>
                <c:pt idx="0">
                  <c:v>10517</c:v>
                </c:pt>
                <c:pt idx="1">
                  <c:v>16392</c:v>
                </c:pt>
                <c:pt idx="2">
                  <c:v>20535</c:v>
                </c:pt>
                <c:pt idx="3">
                  <c:v>23663</c:v>
                </c:pt>
                <c:pt idx="4">
                  <c:v>25605</c:v>
                </c:pt>
                <c:pt idx="5">
                  <c:v>26796</c:v>
                </c:pt>
                <c:pt idx="6">
                  <c:v>27491</c:v>
                </c:pt>
                <c:pt idx="7">
                  <c:v>28135</c:v>
                </c:pt>
                <c:pt idx="8">
                  <c:v>28223</c:v>
                </c:pt>
                <c:pt idx="9">
                  <c:v>28950</c:v>
                </c:pt>
                <c:pt idx="10">
                  <c:v>28597</c:v>
                </c:pt>
                <c:pt idx="11">
                  <c:v>28074</c:v>
                </c:pt>
                <c:pt idx="12">
                  <c:v>27423</c:v>
                </c:pt>
                <c:pt idx="13">
                  <c:v>26659</c:v>
                </c:pt>
                <c:pt idx="14">
                  <c:v>25361</c:v>
                </c:pt>
                <c:pt idx="15">
                  <c:v>22843</c:v>
                </c:pt>
                <c:pt idx="16">
                  <c:v>22834</c:v>
                </c:pt>
                <c:pt idx="17">
                  <c:v>22231</c:v>
                </c:pt>
                <c:pt idx="18">
                  <c:v>20543</c:v>
                </c:pt>
                <c:pt idx="19">
                  <c:v>19862</c:v>
                </c:pt>
                <c:pt idx="20">
                  <c:v>18446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E51-4467-8D08-620D53972698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Narrow CWP Prevalence</c:v>
                </c:pt>
              </c:strCache>
            </c:strRef>
          </c:tx>
          <c:spPr>
            <a:solidFill>
              <a:schemeClr val="bg1"/>
            </a:solidFill>
            <a:ln>
              <a:solidFill>
                <a:schemeClr val="tx1"/>
              </a:solidFill>
            </a:ln>
            <a:effectLst/>
          </c:spPr>
          <c:invertIfNegative val="0"/>
          <c:cat>
            <c:numRef>
              <c:f>Sheet1!$A$2:$A$22</c:f>
              <c:numCache>
                <c:formatCode>General</c:formatCode>
                <c:ptCount val="21"/>
                <c:pt idx="0">
                  <c:v>1999</c:v>
                </c:pt>
                <c:pt idx="1">
                  <c:v>2000</c:v>
                </c:pt>
                <c:pt idx="2">
                  <c:v>2001</c:v>
                </c:pt>
                <c:pt idx="3">
                  <c:v>2002</c:v>
                </c:pt>
                <c:pt idx="4">
                  <c:v>2003</c:v>
                </c:pt>
                <c:pt idx="5">
                  <c:v>2004</c:v>
                </c:pt>
                <c:pt idx="6">
                  <c:v>2005</c:v>
                </c:pt>
                <c:pt idx="7">
                  <c:v>2006</c:v>
                </c:pt>
                <c:pt idx="8">
                  <c:v>2007</c:v>
                </c:pt>
                <c:pt idx="9">
                  <c:v>2008</c:v>
                </c:pt>
                <c:pt idx="10">
                  <c:v>2009</c:v>
                </c:pt>
                <c:pt idx="11">
                  <c:v>2010</c:v>
                </c:pt>
                <c:pt idx="12">
                  <c:v>2011</c:v>
                </c:pt>
                <c:pt idx="13">
                  <c:v>2012</c:v>
                </c:pt>
                <c:pt idx="14">
                  <c:v>2013</c:v>
                </c:pt>
                <c:pt idx="15">
                  <c:v>2014</c:v>
                </c:pt>
                <c:pt idx="16">
                  <c:v>2015</c:v>
                </c:pt>
                <c:pt idx="17">
                  <c:v>2016</c:v>
                </c:pt>
                <c:pt idx="18">
                  <c:v>2017</c:v>
                </c:pt>
                <c:pt idx="19">
                  <c:v>2018</c:v>
                </c:pt>
                <c:pt idx="20">
                  <c:v>2019</c:v>
                </c:pt>
              </c:numCache>
            </c:numRef>
          </c:cat>
          <c:val>
            <c:numRef>
              <c:f>Sheet1!$D$2:$D$22</c:f>
              <c:numCache>
                <c:formatCode>General</c:formatCode>
                <c:ptCount val="21"/>
                <c:pt idx="0">
                  <c:v>5914</c:v>
                </c:pt>
                <c:pt idx="1">
                  <c:v>9259</c:v>
                </c:pt>
                <c:pt idx="2">
                  <c:v>11884</c:v>
                </c:pt>
                <c:pt idx="3">
                  <c:v>13877</c:v>
                </c:pt>
                <c:pt idx="4">
                  <c:v>14958</c:v>
                </c:pt>
                <c:pt idx="5">
                  <c:v>15550</c:v>
                </c:pt>
                <c:pt idx="6">
                  <c:v>16618</c:v>
                </c:pt>
                <c:pt idx="7">
                  <c:v>16824</c:v>
                </c:pt>
                <c:pt idx="8">
                  <c:v>16580</c:v>
                </c:pt>
                <c:pt idx="9">
                  <c:v>17014</c:v>
                </c:pt>
                <c:pt idx="10">
                  <c:v>17082</c:v>
                </c:pt>
                <c:pt idx="11">
                  <c:v>17009</c:v>
                </c:pt>
                <c:pt idx="12">
                  <c:v>16547</c:v>
                </c:pt>
                <c:pt idx="13">
                  <c:v>15981</c:v>
                </c:pt>
                <c:pt idx="14">
                  <c:v>15184</c:v>
                </c:pt>
                <c:pt idx="15">
                  <c:v>13534</c:v>
                </c:pt>
                <c:pt idx="16">
                  <c:v>13556</c:v>
                </c:pt>
                <c:pt idx="17">
                  <c:v>13372</c:v>
                </c:pt>
                <c:pt idx="18">
                  <c:v>12741</c:v>
                </c:pt>
                <c:pt idx="19">
                  <c:v>12826</c:v>
                </c:pt>
                <c:pt idx="20">
                  <c:v>13083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E51-4467-8D08-620D5397269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8452864"/>
        <c:axId val="28451200"/>
      </c:barChart>
      <c:lineChart>
        <c:grouping val="standard"/>
        <c:varyColors val="0"/>
        <c:ser>
          <c:idx val="3"/>
          <c:order val="3"/>
          <c:tx>
            <c:strRef>
              <c:f>Sheet1!$E$1</c:f>
              <c:strCache>
                <c:ptCount val="1"/>
                <c:pt idx="0">
                  <c:v>Broad CWP PR </c:v>
                </c:pt>
              </c:strCache>
            </c:strRef>
          </c:tx>
          <c:spPr>
            <a:ln w="28575" cap="rnd">
              <a:solidFill>
                <a:schemeClr val="tx1"/>
              </a:solidFill>
              <a:prstDash val="lgDash"/>
              <a:round/>
            </a:ln>
            <a:effectLst/>
          </c:spPr>
          <c:marker>
            <c:symbol val="none"/>
          </c:marker>
          <c:cat>
            <c:numRef>
              <c:f>Sheet1!$A$2:$A$22</c:f>
              <c:numCache>
                <c:formatCode>General</c:formatCode>
                <c:ptCount val="21"/>
                <c:pt idx="0">
                  <c:v>1999</c:v>
                </c:pt>
                <c:pt idx="1">
                  <c:v>2000</c:v>
                </c:pt>
                <c:pt idx="2">
                  <c:v>2001</c:v>
                </c:pt>
                <c:pt idx="3">
                  <c:v>2002</c:v>
                </c:pt>
                <c:pt idx="4">
                  <c:v>2003</c:v>
                </c:pt>
                <c:pt idx="5">
                  <c:v>2004</c:v>
                </c:pt>
                <c:pt idx="6">
                  <c:v>2005</c:v>
                </c:pt>
                <c:pt idx="7">
                  <c:v>2006</c:v>
                </c:pt>
                <c:pt idx="8">
                  <c:v>2007</c:v>
                </c:pt>
                <c:pt idx="9">
                  <c:v>2008</c:v>
                </c:pt>
                <c:pt idx="10">
                  <c:v>2009</c:v>
                </c:pt>
                <c:pt idx="11">
                  <c:v>2010</c:v>
                </c:pt>
                <c:pt idx="12">
                  <c:v>2011</c:v>
                </c:pt>
                <c:pt idx="13">
                  <c:v>2012</c:v>
                </c:pt>
                <c:pt idx="14">
                  <c:v>2013</c:v>
                </c:pt>
                <c:pt idx="15">
                  <c:v>2014</c:v>
                </c:pt>
                <c:pt idx="16">
                  <c:v>2015</c:v>
                </c:pt>
                <c:pt idx="17">
                  <c:v>2016</c:v>
                </c:pt>
                <c:pt idx="18">
                  <c:v>2017</c:v>
                </c:pt>
                <c:pt idx="19">
                  <c:v>2018</c:v>
                </c:pt>
                <c:pt idx="20">
                  <c:v>2019</c:v>
                </c:pt>
              </c:numCache>
            </c:numRef>
          </c:cat>
          <c:val>
            <c:numRef>
              <c:f>Sheet1!$E$2:$E$22</c:f>
              <c:numCache>
                <c:formatCode>0.0</c:formatCode>
                <c:ptCount val="21"/>
                <c:pt idx="0">
                  <c:v>53.913677913798573</c:v>
                </c:pt>
                <c:pt idx="1">
                  <c:v>83.543995808391074</c:v>
                </c:pt>
                <c:pt idx="2">
                  <c:v>102.99510630469362</c:v>
                </c:pt>
                <c:pt idx="3">
                  <c:v>115.87702839074639</c:v>
                </c:pt>
                <c:pt idx="4">
                  <c:v>125.30126875605302</c:v>
                </c:pt>
                <c:pt idx="5">
                  <c:v>131.73640325571233</c:v>
                </c:pt>
                <c:pt idx="6">
                  <c:v>136.22680725837444</c:v>
                </c:pt>
                <c:pt idx="7">
                  <c:v>141.6862282574578</c:v>
                </c:pt>
                <c:pt idx="8">
                  <c:v>147.81165192017616</c:v>
                </c:pt>
                <c:pt idx="9">
                  <c:v>161.17611981915408</c:v>
                </c:pt>
                <c:pt idx="10">
                  <c:v>163.59797568694523</c:v>
                </c:pt>
                <c:pt idx="11">
                  <c:v>163.43075569125591</c:v>
                </c:pt>
                <c:pt idx="12">
                  <c:v>156.60294256757368</c:v>
                </c:pt>
                <c:pt idx="13">
                  <c:v>149.90818694925503</c:v>
                </c:pt>
                <c:pt idx="14">
                  <c:v>142.56452288293218</c:v>
                </c:pt>
                <c:pt idx="15">
                  <c:v>132.21007250273229</c:v>
                </c:pt>
                <c:pt idx="16">
                  <c:v>129.8177801610359</c:v>
                </c:pt>
                <c:pt idx="17">
                  <c:v>124.77381688663013</c:v>
                </c:pt>
                <c:pt idx="18">
                  <c:v>117.45318442529981</c:v>
                </c:pt>
                <c:pt idx="19">
                  <c:v>114.60600988641653</c:v>
                </c:pt>
                <c:pt idx="20">
                  <c:v>109.21958531475948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9E51-4467-8D08-620D53972698}"/>
            </c:ext>
          </c:extLst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Intermediate CWP PR</c:v>
                </c:pt>
              </c:strCache>
            </c:strRef>
          </c:tx>
          <c:spPr>
            <a:ln w="28575" cap="rnd">
              <a:solidFill>
                <a:schemeClr val="tx1">
                  <a:lumMod val="50000"/>
                  <a:lumOff val="50000"/>
                </a:schemeClr>
              </a:solidFill>
              <a:prstDash val="dash"/>
              <a:round/>
            </a:ln>
            <a:effectLst/>
          </c:spPr>
          <c:marker>
            <c:symbol val="none"/>
          </c:marker>
          <c:cat>
            <c:numRef>
              <c:f>Sheet1!$A$2:$A$22</c:f>
              <c:numCache>
                <c:formatCode>General</c:formatCode>
                <c:ptCount val="21"/>
                <c:pt idx="0">
                  <c:v>1999</c:v>
                </c:pt>
                <c:pt idx="1">
                  <c:v>2000</c:v>
                </c:pt>
                <c:pt idx="2">
                  <c:v>2001</c:v>
                </c:pt>
                <c:pt idx="3">
                  <c:v>2002</c:v>
                </c:pt>
                <c:pt idx="4">
                  <c:v>2003</c:v>
                </c:pt>
                <c:pt idx="5">
                  <c:v>2004</c:v>
                </c:pt>
                <c:pt idx="6">
                  <c:v>2005</c:v>
                </c:pt>
                <c:pt idx="7">
                  <c:v>2006</c:v>
                </c:pt>
                <c:pt idx="8">
                  <c:v>2007</c:v>
                </c:pt>
                <c:pt idx="9">
                  <c:v>2008</c:v>
                </c:pt>
                <c:pt idx="10">
                  <c:v>2009</c:v>
                </c:pt>
                <c:pt idx="11">
                  <c:v>2010</c:v>
                </c:pt>
                <c:pt idx="12">
                  <c:v>2011</c:v>
                </c:pt>
                <c:pt idx="13">
                  <c:v>2012</c:v>
                </c:pt>
                <c:pt idx="14">
                  <c:v>2013</c:v>
                </c:pt>
                <c:pt idx="15">
                  <c:v>2014</c:v>
                </c:pt>
                <c:pt idx="16">
                  <c:v>2015</c:v>
                </c:pt>
                <c:pt idx="17">
                  <c:v>2016</c:v>
                </c:pt>
                <c:pt idx="18">
                  <c:v>2017</c:v>
                </c:pt>
                <c:pt idx="19">
                  <c:v>2018</c:v>
                </c:pt>
                <c:pt idx="20">
                  <c:v>2019</c:v>
                </c:pt>
              </c:numCache>
            </c:numRef>
          </c:cat>
          <c:val>
            <c:numRef>
              <c:f>Sheet1!$F$2:$F$22</c:f>
              <c:numCache>
                <c:formatCode>0.0</c:formatCode>
                <c:ptCount val="21"/>
                <c:pt idx="0">
                  <c:v>34.335118724683277</c:v>
                </c:pt>
                <c:pt idx="1">
                  <c:v>52.839957529465082</c:v>
                </c:pt>
                <c:pt idx="2">
                  <c:v>64.085219766896444</c:v>
                </c:pt>
                <c:pt idx="3">
                  <c:v>71.35045856909268</c:v>
                </c:pt>
                <c:pt idx="4">
                  <c:v>75.488552892843401</c:v>
                </c:pt>
                <c:pt idx="5">
                  <c:v>78.178828907050871</c:v>
                </c:pt>
                <c:pt idx="6">
                  <c:v>80.23591126598761</c:v>
                </c:pt>
                <c:pt idx="7">
                  <c:v>84.322412099916988</c:v>
                </c:pt>
                <c:pt idx="8">
                  <c:v>85.96987639656119</c:v>
                </c:pt>
                <c:pt idx="9">
                  <c:v>89.492484872446937</c:v>
                </c:pt>
                <c:pt idx="10">
                  <c:v>88.784516467141856</c:v>
                </c:pt>
                <c:pt idx="11">
                  <c:v>86.075248297994875</c:v>
                </c:pt>
                <c:pt idx="12">
                  <c:v>82.613979455409904</c:v>
                </c:pt>
                <c:pt idx="13">
                  <c:v>79.64609992387328</c:v>
                </c:pt>
                <c:pt idx="14">
                  <c:v>75.499151471821136</c:v>
                </c:pt>
                <c:pt idx="15">
                  <c:v>68.37079340260604</c:v>
                </c:pt>
                <c:pt idx="16">
                  <c:v>68.164260404191907</c:v>
                </c:pt>
                <c:pt idx="17">
                  <c:v>65.50433862009811</c:v>
                </c:pt>
                <c:pt idx="18">
                  <c:v>60.812076710661948</c:v>
                </c:pt>
                <c:pt idx="19">
                  <c:v>59.385473073074152</c:v>
                </c:pt>
                <c:pt idx="20">
                  <c:v>55.718360272029813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9E51-4467-8D08-620D53972698}"/>
            </c:ext>
          </c:extLst>
        </c:ser>
        <c:ser>
          <c:idx val="5"/>
          <c:order val="5"/>
          <c:tx>
            <c:strRef>
              <c:f>Sheet1!$G$1</c:f>
              <c:strCache>
                <c:ptCount val="1"/>
                <c:pt idx="0">
                  <c:v>Narrow CWP PR</c:v>
                </c:pt>
              </c:strCache>
            </c:strRef>
          </c:tx>
          <c:spPr>
            <a:ln w="28575" cap="rnd">
              <a:solidFill>
                <a:schemeClr val="tx1"/>
              </a:solidFill>
              <a:prstDash val="sysDot"/>
              <a:round/>
            </a:ln>
            <a:effectLst/>
          </c:spPr>
          <c:marker>
            <c:symbol val="none"/>
          </c:marker>
          <c:cat>
            <c:numRef>
              <c:f>Sheet1!$A$2:$A$22</c:f>
              <c:numCache>
                <c:formatCode>General</c:formatCode>
                <c:ptCount val="21"/>
                <c:pt idx="0">
                  <c:v>1999</c:v>
                </c:pt>
                <c:pt idx="1">
                  <c:v>2000</c:v>
                </c:pt>
                <c:pt idx="2">
                  <c:v>2001</c:v>
                </c:pt>
                <c:pt idx="3">
                  <c:v>2002</c:v>
                </c:pt>
                <c:pt idx="4">
                  <c:v>2003</c:v>
                </c:pt>
                <c:pt idx="5">
                  <c:v>2004</c:v>
                </c:pt>
                <c:pt idx="6">
                  <c:v>2005</c:v>
                </c:pt>
                <c:pt idx="7">
                  <c:v>2006</c:v>
                </c:pt>
                <c:pt idx="8">
                  <c:v>2007</c:v>
                </c:pt>
                <c:pt idx="9">
                  <c:v>2008</c:v>
                </c:pt>
                <c:pt idx="10">
                  <c:v>2009</c:v>
                </c:pt>
                <c:pt idx="11">
                  <c:v>2010</c:v>
                </c:pt>
                <c:pt idx="12">
                  <c:v>2011</c:v>
                </c:pt>
                <c:pt idx="13">
                  <c:v>2012</c:v>
                </c:pt>
                <c:pt idx="14">
                  <c:v>2013</c:v>
                </c:pt>
                <c:pt idx="15">
                  <c:v>2014</c:v>
                </c:pt>
                <c:pt idx="16">
                  <c:v>2015</c:v>
                </c:pt>
                <c:pt idx="17">
                  <c:v>2016</c:v>
                </c:pt>
                <c:pt idx="18">
                  <c:v>2017</c:v>
                </c:pt>
                <c:pt idx="19">
                  <c:v>2018</c:v>
                </c:pt>
                <c:pt idx="20">
                  <c:v>2019</c:v>
                </c:pt>
              </c:numCache>
            </c:numRef>
          </c:cat>
          <c:val>
            <c:numRef>
              <c:f>Sheet1!$G$2:$G$22</c:f>
              <c:numCache>
                <c:formatCode>0.0</c:formatCode>
                <c:ptCount val="21"/>
                <c:pt idx="0">
                  <c:v>19.307586967555093</c:v>
                </c:pt>
                <c:pt idx="1">
                  <c:v>29.846581671871473</c:v>
                </c:pt>
                <c:pt idx="2">
                  <c:v>37.087350947640488</c:v>
                </c:pt>
                <c:pt idx="3">
                  <c:v>41.842974836804252</c:v>
                </c:pt>
                <c:pt idx="4">
                  <c:v>44.099112445661063</c:v>
                </c:pt>
                <c:pt idx="5">
                  <c:v>45.367994831491302</c:v>
                </c:pt>
                <c:pt idx="6">
                  <c:v>48.501705045948931</c:v>
                </c:pt>
                <c:pt idx="7">
                  <c:v>50.422614578603273</c:v>
                </c:pt>
                <c:pt idx="8">
                  <c:v>50.504218214044741</c:v>
                </c:pt>
                <c:pt idx="9">
                  <c:v>52.594996118128229</c:v>
                </c:pt>
                <c:pt idx="10">
                  <c:v>53.034133310896848</c:v>
                </c:pt>
                <c:pt idx="11">
                  <c:v>52.149814714703815</c:v>
                </c:pt>
                <c:pt idx="12">
                  <c:v>49.849160122840964</c:v>
                </c:pt>
                <c:pt idx="13">
                  <c:v>47.744638691752087</c:v>
                </c:pt>
                <c:pt idx="14">
                  <c:v>45.202441384335486</c:v>
                </c:pt>
                <c:pt idx="15">
                  <c:v>40.508265898125032</c:v>
                </c:pt>
                <c:pt idx="16">
                  <c:v>40.467492074942001</c:v>
                </c:pt>
                <c:pt idx="17">
                  <c:v>39.401017319416667</c:v>
                </c:pt>
                <c:pt idx="18">
                  <c:v>37.716334973983543</c:v>
                </c:pt>
                <c:pt idx="19">
                  <c:v>38.348508591040634</c:v>
                </c:pt>
                <c:pt idx="20">
                  <c:v>39.518774121162636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9E51-4467-8D08-620D5397269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548656000"/>
        <c:axId val="1548650176"/>
      </c:lineChart>
      <c:catAx>
        <c:axId val="28452864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900" baseline="0"/>
                  <a:t>Year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540000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8451200"/>
        <c:crosses val="autoZero"/>
        <c:auto val="1"/>
        <c:lblAlgn val="ctr"/>
        <c:lblOffset val="100"/>
        <c:noMultiLvlLbl val="0"/>
      </c:catAx>
      <c:valAx>
        <c:axId val="28451200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900"/>
                  <a:t>Number of CWP Cases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8452864"/>
        <c:crosses val="autoZero"/>
        <c:crossBetween val="between"/>
      </c:valAx>
      <c:valAx>
        <c:axId val="1548650176"/>
        <c:scaling>
          <c:orientation val="minMax"/>
          <c:max val="200"/>
        </c:scaling>
        <c:delete val="0"/>
        <c:axPos val="r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900" baseline="0"/>
                  <a:t>Cases per 100,000 Beneficiaries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0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548656000"/>
        <c:crosses val="max"/>
        <c:crossBetween val="between"/>
        <c:majorUnit val="50"/>
      </c:valAx>
      <c:catAx>
        <c:axId val="1548656000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548650176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4.3188169194703967E-2"/>
          <c:y val="0.90132540343691891"/>
          <c:w val="0.92902441483004072"/>
          <c:h val="9.8674596563081085E-2"/>
        </c:manualLayout>
      </c:layout>
      <c:overlay val="0"/>
      <c:spPr>
        <a:noFill/>
        <a:ln>
          <a:noFill/>
          <a:prstDash val="dash"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Broad CWP Incidence</c:v>
                </c:pt>
              </c:strCache>
            </c:strRef>
          </c:tx>
          <c:spPr>
            <a:solidFill>
              <a:schemeClr val="tx1"/>
            </a:solidFill>
            <a:ln>
              <a:solidFill>
                <a:schemeClr val="tx1"/>
              </a:solidFill>
            </a:ln>
            <a:effectLst/>
          </c:spPr>
          <c:invertIfNegative val="0"/>
          <c:cat>
            <c:numRef>
              <c:f>Sheet1!$A$2:$A$19</c:f>
              <c:numCache>
                <c:formatCode>General</c:formatCode>
                <c:ptCount val="18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</c:numCache>
            </c:numRef>
          </c:cat>
          <c:val>
            <c:numRef>
              <c:f>Sheet1!$B$2:$B$19</c:f>
              <c:numCache>
                <c:formatCode>General</c:formatCode>
                <c:ptCount val="18"/>
                <c:pt idx="0">
                  <c:v>7381</c:v>
                </c:pt>
                <c:pt idx="1">
                  <c:v>7047</c:v>
                </c:pt>
                <c:pt idx="2">
                  <c:v>6126</c:v>
                </c:pt>
                <c:pt idx="3">
                  <c:v>5353</c:v>
                </c:pt>
                <c:pt idx="4">
                  <c:v>4807</c:v>
                </c:pt>
                <c:pt idx="5">
                  <c:v>5923</c:v>
                </c:pt>
                <c:pt idx="6">
                  <c:v>7970</c:v>
                </c:pt>
                <c:pt idx="7">
                  <c:v>6423</c:v>
                </c:pt>
                <c:pt idx="8">
                  <c:v>6092</c:v>
                </c:pt>
                <c:pt idx="9">
                  <c:v>4204</c:v>
                </c:pt>
                <c:pt idx="10">
                  <c:v>3933</c:v>
                </c:pt>
                <c:pt idx="11">
                  <c:v>3602</c:v>
                </c:pt>
                <c:pt idx="12">
                  <c:v>3463</c:v>
                </c:pt>
                <c:pt idx="13">
                  <c:v>3193</c:v>
                </c:pt>
                <c:pt idx="14">
                  <c:v>3091</c:v>
                </c:pt>
                <c:pt idx="15">
                  <c:v>3157</c:v>
                </c:pt>
                <c:pt idx="16">
                  <c:v>3052</c:v>
                </c:pt>
                <c:pt idx="17">
                  <c:v>2572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75E-4742-825E-08F1A8FDB15C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Intermediate CWP Incidence</c:v>
                </c:pt>
              </c:strCache>
            </c:strRef>
          </c:tx>
          <c:spPr>
            <a:solidFill>
              <a:schemeClr val="tx1">
                <a:lumMod val="50000"/>
                <a:lumOff val="50000"/>
              </a:schemeClr>
            </a:solidFill>
            <a:ln>
              <a:solidFill>
                <a:schemeClr val="tx1">
                  <a:lumMod val="50000"/>
                  <a:lumOff val="50000"/>
                </a:schemeClr>
              </a:solidFill>
            </a:ln>
            <a:effectLst/>
          </c:spPr>
          <c:invertIfNegative val="0"/>
          <c:cat>
            <c:numRef>
              <c:f>Sheet1!$A$2:$A$19</c:f>
              <c:numCache>
                <c:formatCode>General</c:formatCode>
                <c:ptCount val="18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</c:numCache>
            </c:numRef>
          </c:cat>
          <c:val>
            <c:numRef>
              <c:f>Sheet1!$C$2:$C$19</c:f>
              <c:numCache>
                <c:formatCode>General</c:formatCode>
                <c:ptCount val="18"/>
                <c:pt idx="0">
                  <c:v>4522</c:v>
                </c:pt>
                <c:pt idx="1">
                  <c:v>4084</c:v>
                </c:pt>
                <c:pt idx="2">
                  <c:v>3428</c:v>
                </c:pt>
                <c:pt idx="3">
                  <c:v>2995</c:v>
                </c:pt>
                <c:pt idx="4">
                  <c:v>2685</c:v>
                </c:pt>
                <c:pt idx="5">
                  <c:v>2858</c:v>
                </c:pt>
                <c:pt idx="6">
                  <c:v>3252</c:v>
                </c:pt>
                <c:pt idx="7">
                  <c:v>2487</c:v>
                </c:pt>
                <c:pt idx="8">
                  <c:v>2232</c:v>
                </c:pt>
                <c:pt idx="9">
                  <c:v>1921</c:v>
                </c:pt>
                <c:pt idx="10">
                  <c:v>1877</c:v>
                </c:pt>
                <c:pt idx="11">
                  <c:v>1760</c:v>
                </c:pt>
                <c:pt idx="12">
                  <c:v>1589</c:v>
                </c:pt>
                <c:pt idx="13">
                  <c:v>1556</c:v>
                </c:pt>
                <c:pt idx="14">
                  <c:v>1471</c:v>
                </c:pt>
                <c:pt idx="15">
                  <c:v>1480</c:v>
                </c:pt>
                <c:pt idx="16">
                  <c:v>1371</c:v>
                </c:pt>
                <c:pt idx="17">
                  <c:v>1051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75E-4742-825E-08F1A8FDB15C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Narrow CWP Incidence</c:v>
                </c:pt>
              </c:strCache>
            </c:strRef>
          </c:tx>
          <c:spPr>
            <a:solidFill>
              <a:schemeClr val="bg1"/>
            </a:solidFill>
            <a:ln>
              <a:solidFill>
                <a:schemeClr val="tx1"/>
              </a:solidFill>
            </a:ln>
            <a:effectLst/>
          </c:spPr>
          <c:invertIfNegative val="0"/>
          <c:cat>
            <c:numRef>
              <c:f>Sheet1!$A$2:$A$19</c:f>
              <c:numCache>
                <c:formatCode>General</c:formatCode>
                <c:ptCount val="18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</c:numCache>
            </c:numRef>
          </c:cat>
          <c:val>
            <c:numRef>
              <c:f>Sheet1!$D$2:$D$19</c:f>
              <c:numCache>
                <c:formatCode>General</c:formatCode>
                <c:ptCount val="18"/>
                <c:pt idx="0">
                  <c:v>3599</c:v>
                </c:pt>
                <c:pt idx="1">
                  <c:v>3238</c:v>
                </c:pt>
                <c:pt idx="2">
                  <c:v>2759</c:v>
                </c:pt>
                <c:pt idx="3">
                  <c:v>2510</c:v>
                </c:pt>
                <c:pt idx="4">
                  <c:v>2211</c:v>
                </c:pt>
                <c:pt idx="5">
                  <c:v>2392</c:v>
                </c:pt>
                <c:pt idx="6">
                  <c:v>2752</c:v>
                </c:pt>
                <c:pt idx="7">
                  <c:v>2003</c:v>
                </c:pt>
                <c:pt idx="8">
                  <c:v>1764</c:v>
                </c:pt>
                <c:pt idx="9">
                  <c:v>1448</c:v>
                </c:pt>
                <c:pt idx="10">
                  <c:v>1426</c:v>
                </c:pt>
                <c:pt idx="11">
                  <c:v>1308</c:v>
                </c:pt>
                <c:pt idx="12">
                  <c:v>1235</c:v>
                </c:pt>
                <c:pt idx="13">
                  <c:v>1173</c:v>
                </c:pt>
                <c:pt idx="14">
                  <c:v>1103</c:v>
                </c:pt>
                <c:pt idx="15">
                  <c:v>1127</c:v>
                </c:pt>
                <c:pt idx="16">
                  <c:v>1059</c:v>
                </c:pt>
                <c:pt idx="17">
                  <c:v>835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75E-4742-825E-08F1A8FDB15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29279072"/>
        <c:axId val="28452032"/>
      </c:barChart>
      <c:lineChart>
        <c:grouping val="standard"/>
        <c:varyColors val="0"/>
        <c:ser>
          <c:idx val="3"/>
          <c:order val="3"/>
          <c:tx>
            <c:strRef>
              <c:f>Sheet1!$E$1</c:f>
              <c:strCache>
                <c:ptCount val="1"/>
                <c:pt idx="0">
                  <c:v>Broad CWP IR</c:v>
                </c:pt>
              </c:strCache>
            </c:strRef>
          </c:tx>
          <c:spPr>
            <a:ln w="28575" cap="rnd">
              <a:solidFill>
                <a:schemeClr val="tx1"/>
              </a:solidFill>
              <a:prstDash val="lgDash"/>
              <a:round/>
            </a:ln>
            <a:effectLst/>
          </c:spPr>
          <c:marker>
            <c:symbol val="none"/>
          </c:marker>
          <c:cat>
            <c:numRef>
              <c:f>Sheet1!$A$2:$A$19</c:f>
              <c:numCache>
                <c:formatCode>General</c:formatCode>
                <c:ptCount val="18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</c:numCache>
            </c:numRef>
          </c:cat>
          <c:val>
            <c:numRef>
              <c:f>Sheet1!$E$2:$E$19</c:f>
              <c:numCache>
                <c:formatCode>0.0</c:formatCode>
                <c:ptCount val="18"/>
                <c:pt idx="0">
                  <c:v>30.317493699087478</c:v>
                </c:pt>
                <c:pt idx="1">
                  <c:v>28.507681721907662</c:v>
                </c:pt>
                <c:pt idx="2">
                  <c:v>23.969339904099165</c:v>
                </c:pt>
                <c:pt idx="3">
                  <c:v>20.289202051040096</c:v>
                </c:pt>
                <c:pt idx="4">
                  <c:v>18.094629832319207</c:v>
                </c:pt>
                <c:pt idx="5">
                  <c:v>22.834164289248374</c:v>
                </c:pt>
                <c:pt idx="6">
                  <c:v>31.373280113438224</c:v>
                </c:pt>
                <c:pt idx="7">
                  <c:v>25.757089194678517</c:v>
                </c:pt>
                <c:pt idx="8">
                  <c:v>24.584076330409342</c:v>
                </c:pt>
                <c:pt idx="9">
                  <c:v>16.984849788719618</c:v>
                </c:pt>
                <c:pt idx="10">
                  <c:v>15.771225561367212</c:v>
                </c:pt>
                <c:pt idx="11">
                  <c:v>14.32456570756236</c:v>
                </c:pt>
                <c:pt idx="12">
                  <c:v>13.753467955015397</c:v>
                </c:pt>
                <c:pt idx="13">
                  <c:v>12.741189764558934</c:v>
                </c:pt>
                <c:pt idx="14">
                  <c:v>12.298667510397964</c:v>
                </c:pt>
                <c:pt idx="15">
                  <c:v>12.424421871815307</c:v>
                </c:pt>
                <c:pt idx="16">
                  <c:v>11.998614105031354</c:v>
                </c:pt>
                <c:pt idx="17">
                  <c:v>10.107896688178304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375E-4742-825E-08F1A8FDB15C}"/>
            </c:ext>
          </c:extLst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Intermediate CWP IR</c:v>
                </c:pt>
              </c:strCache>
            </c:strRef>
          </c:tx>
          <c:spPr>
            <a:ln w="28575" cap="rnd">
              <a:solidFill>
                <a:schemeClr val="tx1">
                  <a:lumMod val="50000"/>
                  <a:lumOff val="50000"/>
                </a:schemeClr>
              </a:solidFill>
              <a:prstDash val="dash"/>
              <a:round/>
            </a:ln>
            <a:effectLst/>
          </c:spPr>
          <c:marker>
            <c:symbol val="none"/>
          </c:marker>
          <c:cat>
            <c:numRef>
              <c:f>Sheet1!$A$2:$A$19</c:f>
              <c:numCache>
                <c:formatCode>General</c:formatCode>
                <c:ptCount val="18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</c:numCache>
            </c:numRef>
          </c:cat>
          <c:val>
            <c:numRef>
              <c:f>Sheet1!$F$2:$F$19</c:f>
              <c:numCache>
                <c:formatCode>0.0</c:formatCode>
                <c:ptCount val="18"/>
                <c:pt idx="0">
                  <c:v>18.574137177519791</c:v>
                </c:pt>
                <c:pt idx="1">
                  <c:v>16.521267511319838</c:v>
                </c:pt>
                <c:pt idx="2">
                  <c:v>13.412813775914453</c:v>
                </c:pt>
                <c:pt idx="3">
                  <c:v>11.351795281685988</c:v>
                </c:pt>
                <c:pt idx="4">
                  <c:v>10.106944268728327</c:v>
                </c:pt>
                <c:pt idx="5">
                  <c:v>11.018072182791128</c:v>
                </c:pt>
                <c:pt idx="6">
                  <c:v>12.801243027465635</c:v>
                </c:pt>
                <c:pt idx="7">
                  <c:v>9.9732026821057875</c:v>
                </c:pt>
                <c:pt idx="8">
                  <c:v>9.0071665084493837</c:v>
                </c:pt>
                <c:pt idx="9">
                  <c:v>7.7611551960348208</c:v>
                </c:pt>
                <c:pt idx="10">
                  <c:v>7.5267201573064453</c:v>
                </c:pt>
                <c:pt idx="11">
                  <c:v>6.9992325500582329</c:v>
                </c:pt>
                <c:pt idx="12">
                  <c:v>6.3107885014494558</c:v>
                </c:pt>
                <c:pt idx="13">
                  <c:v>6.2089856791900102</c:v>
                </c:pt>
                <c:pt idx="14">
                  <c:v>5.8529084140392769</c:v>
                </c:pt>
                <c:pt idx="15">
                  <c:v>5.8245626766825005</c:v>
                </c:pt>
                <c:pt idx="16">
                  <c:v>5.3899410019652647</c:v>
                </c:pt>
                <c:pt idx="17">
                  <c:v>4.1304041288006985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375E-4742-825E-08F1A8FDB15C}"/>
            </c:ext>
          </c:extLst>
        </c:ser>
        <c:ser>
          <c:idx val="5"/>
          <c:order val="5"/>
          <c:tx>
            <c:strRef>
              <c:f>Sheet1!$G$1</c:f>
              <c:strCache>
                <c:ptCount val="1"/>
                <c:pt idx="0">
                  <c:v>Narrow CWP IR</c:v>
                </c:pt>
              </c:strCache>
            </c:strRef>
          </c:tx>
          <c:spPr>
            <a:ln w="28575" cap="rnd">
              <a:solidFill>
                <a:schemeClr val="tx1"/>
              </a:solidFill>
              <a:prstDash val="sysDot"/>
              <a:round/>
            </a:ln>
            <a:effectLst/>
          </c:spPr>
          <c:marker>
            <c:symbol val="none"/>
          </c:marker>
          <c:cat>
            <c:numRef>
              <c:f>Sheet1!$A$2:$A$19</c:f>
              <c:numCache>
                <c:formatCode>General</c:formatCode>
                <c:ptCount val="18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</c:numCache>
            </c:numRef>
          </c:cat>
          <c:val>
            <c:numRef>
              <c:f>Sheet1!$G$2:$G$19</c:f>
              <c:numCache>
                <c:formatCode>0.0</c:formatCode>
                <c:ptCount val="18"/>
                <c:pt idx="0">
                  <c:v>14.782910150794722</c:v>
                </c:pt>
                <c:pt idx="1">
                  <c:v>13.098889373568474</c:v>
                </c:pt>
                <c:pt idx="2">
                  <c:v>10.795202219296375</c:v>
                </c:pt>
                <c:pt idx="3">
                  <c:v>9.5135245933328303</c:v>
                </c:pt>
                <c:pt idx="4">
                  <c:v>8.3227015933550597</c:v>
                </c:pt>
                <c:pt idx="5">
                  <c:v>9.2215635623640235</c:v>
                </c:pt>
                <c:pt idx="6">
                  <c:v>10.833032229884818</c:v>
                </c:pt>
                <c:pt idx="7">
                  <c:v>8.0322979381817028</c:v>
                </c:pt>
                <c:pt idx="8">
                  <c:v>7.1185670792583835</c:v>
                </c:pt>
                <c:pt idx="9">
                  <c:v>5.8501575865999076</c:v>
                </c:pt>
                <c:pt idx="10">
                  <c:v>5.7182221333612109</c:v>
                </c:pt>
                <c:pt idx="11">
                  <c:v>5.201702372429641</c:v>
                </c:pt>
                <c:pt idx="12">
                  <c:v>4.9048607925047696</c:v>
                </c:pt>
                <c:pt idx="13">
                  <c:v>4.6806813635539086</c:v>
                </c:pt>
                <c:pt idx="14">
                  <c:v>4.3886865946195259</c:v>
                </c:pt>
                <c:pt idx="15">
                  <c:v>4.4353257679872824</c:v>
                </c:pt>
                <c:pt idx="16">
                  <c:v>4.1633461131154013</c:v>
                </c:pt>
                <c:pt idx="17">
                  <c:v>3.2815294458121631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375E-4742-825E-08F1A8FDB15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069967248"/>
        <c:axId val="1069969744"/>
      </c:lineChart>
      <c:catAx>
        <c:axId val="29279072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900"/>
                  <a:t>Year</a:t>
                </a:r>
              </a:p>
            </c:rich>
          </c:tx>
          <c:layout>
            <c:manualLayout>
              <c:xMode val="edge"/>
              <c:yMode val="edge"/>
              <c:x val="0.48880264241824745"/>
              <c:y val="0.76285257575885723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5400000" spcFirstLastPara="1" vertOverflow="ellipsis" wrap="square" anchor="t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8452032"/>
        <c:crosses val="autoZero"/>
        <c:auto val="1"/>
        <c:lblAlgn val="ctr"/>
        <c:lblOffset val="100"/>
        <c:noMultiLvlLbl val="0"/>
      </c:catAx>
      <c:valAx>
        <c:axId val="28452032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900"/>
                  <a:t>Number of CWP</a:t>
                </a:r>
                <a:r>
                  <a:rPr lang="en-US" sz="900" baseline="0"/>
                  <a:t> Cases</a:t>
                </a:r>
                <a:endParaRPr lang="en-US" sz="900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9279072"/>
        <c:crosses val="autoZero"/>
        <c:crossBetween val="between"/>
      </c:valAx>
      <c:valAx>
        <c:axId val="1069969744"/>
        <c:scaling>
          <c:orientation val="minMax"/>
          <c:max val="50"/>
          <c:min val="0"/>
        </c:scaling>
        <c:delete val="0"/>
        <c:axPos val="r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900" baseline="0"/>
                  <a:t>Cases per 100,000 Beneficiaries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0" sourceLinked="0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069967248"/>
        <c:crosses val="max"/>
        <c:crossBetween val="between"/>
        <c:majorUnit val="10"/>
      </c:valAx>
      <c:catAx>
        <c:axId val="1069967248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069969744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5.6174384483195852E-2"/>
          <c:y val="0.82724584239000198"/>
          <c:w val="0.88365027336175894"/>
          <c:h val="0.1154680852863316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1397213714913133"/>
          <c:y val="3.8128249566724434E-2"/>
          <c:w val="0.80276469554114194"/>
          <c:h val="0.7315995032683306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Broad Silicosis Prevalence</c:v>
                </c:pt>
              </c:strCache>
            </c:strRef>
          </c:tx>
          <c:spPr>
            <a:solidFill>
              <a:schemeClr val="tx1"/>
            </a:solidFill>
            <a:ln>
              <a:solidFill>
                <a:schemeClr val="tx1"/>
              </a:solidFill>
            </a:ln>
            <a:effectLst/>
          </c:spPr>
          <c:invertIfNegative val="0"/>
          <c:cat>
            <c:numRef>
              <c:f>Sheet1!$A$2:$A$22</c:f>
              <c:numCache>
                <c:formatCode>General</c:formatCode>
                <c:ptCount val="21"/>
                <c:pt idx="0">
                  <c:v>1999</c:v>
                </c:pt>
                <c:pt idx="1">
                  <c:v>2000</c:v>
                </c:pt>
                <c:pt idx="2">
                  <c:v>2001</c:v>
                </c:pt>
                <c:pt idx="3">
                  <c:v>2002</c:v>
                </c:pt>
                <c:pt idx="4">
                  <c:v>2003</c:v>
                </c:pt>
                <c:pt idx="5">
                  <c:v>2004</c:v>
                </c:pt>
                <c:pt idx="6">
                  <c:v>2005</c:v>
                </c:pt>
                <c:pt idx="7">
                  <c:v>2006</c:v>
                </c:pt>
                <c:pt idx="8">
                  <c:v>2007</c:v>
                </c:pt>
                <c:pt idx="9">
                  <c:v>2008</c:v>
                </c:pt>
                <c:pt idx="10">
                  <c:v>2009</c:v>
                </c:pt>
                <c:pt idx="11">
                  <c:v>2010</c:v>
                </c:pt>
                <c:pt idx="12">
                  <c:v>2011</c:v>
                </c:pt>
                <c:pt idx="13">
                  <c:v>2012</c:v>
                </c:pt>
                <c:pt idx="14">
                  <c:v>2013</c:v>
                </c:pt>
                <c:pt idx="15">
                  <c:v>2014</c:v>
                </c:pt>
                <c:pt idx="16">
                  <c:v>2015</c:v>
                </c:pt>
                <c:pt idx="17">
                  <c:v>2016</c:v>
                </c:pt>
                <c:pt idx="18">
                  <c:v>2017</c:v>
                </c:pt>
                <c:pt idx="19">
                  <c:v>2018</c:v>
                </c:pt>
                <c:pt idx="20">
                  <c:v>2019</c:v>
                </c:pt>
              </c:numCache>
            </c:numRef>
          </c:cat>
          <c:val>
            <c:numRef>
              <c:f>Sheet1!$B$2:$B$22</c:f>
              <c:numCache>
                <c:formatCode>_(* #,##0_);_(* \(#,##0\);_(* "-"??_);_(@_)</c:formatCode>
                <c:ptCount val="21"/>
                <c:pt idx="0">
                  <c:v>3687</c:v>
                </c:pt>
                <c:pt idx="1">
                  <c:v>8537</c:v>
                </c:pt>
                <c:pt idx="2">
                  <c:v>8629</c:v>
                </c:pt>
                <c:pt idx="3">
                  <c:v>9565</c:v>
                </c:pt>
                <c:pt idx="4">
                  <c:v>10244</c:v>
                </c:pt>
                <c:pt idx="5">
                  <c:v>10892</c:v>
                </c:pt>
                <c:pt idx="6">
                  <c:v>11348</c:v>
                </c:pt>
                <c:pt idx="7">
                  <c:v>11303</c:v>
                </c:pt>
                <c:pt idx="8">
                  <c:v>11028</c:v>
                </c:pt>
                <c:pt idx="9">
                  <c:v>10885</c:v>
                </c:pt>
                <c:pt idx="10">
                  <c:v>10730</c:v>
                </c:pt>
                <c:pt idx="11">
                  <c:v>10711</c:v>
                </c:pt>
                <c:pt idx="12">
                  <c:v>10825</c:v>
                </c:pt>
                <c:pt idx="13">
                  <c:v>10633</c:v>
                </c:pt>
                <c:pt idx="14">
                  <c:v>10395</c:v>
                </c:pt>
                <c:pt idx="15">
                  <c:v>10038</c:v>
                </c:pt>
                <c:pt idx="16">
                  <c:v>9820</c:v>
                </c:pt>
                <c:pt idx="17">
                  <c:v>9463</c:v>
                </c:pt>
                <c:pt idx="18">
                  <c:v>9049</c:v>
                </c:pt>
                <c:pt idx="19">
                  <c:v>8713</c:v>
                </c:pt>
                <c:pt idx="20">
                  <c:v>8502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6E8-41ED-9F68-E7CD85DCA564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Intermediate Silicosis Prevalence</c:v>
                </c:pt>
              </c:strCache>
            </c:strRef>
          </c:tx>
          <c:spPr>
            <a:solidFill>
              <a:schemeClr val="tx1">
                <a:lumMod val="50000"/>
                <a:lumOff val="50000"/>
              </a:schemeClr>
            </a:solidFill>
            <a:ln>
              <a:solidFill>
                <a:schemeClr val="tx1">
                  <a:lumMod val="50000"/>
                  <a:lumOff val="50000"/>
                </a:schemeClr>
              </a:solidFill>
            </a:ln>
            <a:effectLst/>
          </c:spPr>
          <c:invertIfNegative val="0"/>
          <c:cat>
            <c:numRef>
              <c:f>Sheet1!$A$2:$A$22</c:f>
              <c:numCache>
                <c:formatCode>General</c:formatCode>
                <c:ptCount val="21"/>
                <c:pt idx="0">
                  <c:v>1999</c:v>
                </c:pt>
                <c:pt idx="1">
                  <c:v>2000</c:v>
                </c:pt>
                <c:pt idx="2">
                  <c:v>2001</c:v>
                </c:pt>
                <c:pt idx="3">
                  <c:v>2002</c:v>
                </c:pt>
                <c:pt idx="4">
                  <c:v>2003</c:v>
                </c:pt>
                <c:pt idx="5">
                  <c:v>2004</c:v>
                </c:pt>
                <c:pt idx="6">
                  <c:v>2005</c:v>
                </c:pt>
                <c:pt idx="7">
                  <c:v>2006</c:v>
                </c:pt>
                <c:pt idx="8">
                  <c:v>2007</c:v>
                </c:pt>
                <c:pt idx="9">
                  <c:v>2008</c:v>
                </c:pt>
                <c:pt idx="10">
                  <c:v>2009</c:v>
                </c:pt>
                <c:pt idx="11">
                  <c:v>2010</c:v>
                </c:pt>
                <c:pt idx="12">
                  <c:v>2011</c:v>
                </c:pt>
                <c:pt idx="13">
                  <c:v>2012</c:v>
                </c:pt>
                <c:pt idx="14">
                  <c:v>2013</c:v>
                </c:pt>
                <c:pt idx="15">
                  <c:v>2014</c:v>
                </c:pt>
                <c:pt idx="16">
                  <c:v>2015</c:v>
                </c:pt>
                <c:pt idx="17">
                  <c:v>2016</c:v>
                </c:pt>
                <c:pt idx="18">
                  <c:v>2017</c:v>
                </c:pt>
                <c:pt idx="19">
                  <c:v>2018</c:v>
                </c:pt>
                <c:pt idx="20">
                  <c:v>2019</c:v>
                </c:pt>
              </c:numCache>
            </c:numRef>
          </c:cat>
          <c:val>
            <c:numRef>
              <c:f>Sheet1!$C$2:$C$22</c:f>
              <c:numCache>
                <c:formatCode>General</c:formatCode>
                <c:ptCount val="21"/>
                <c:pt idx="0">
                  <c:v>2472</c:v>
                </c:pt>
                <c:pt idx="1">
                  <c:v>4153</c:v>
                </c:pt>
                <c:pt idx="2">
                  <c:v>4661</c:v>
                </c:pt>
                <c:pt idx="3">
                  <c:v>5382</c:v>
                </c:pt>
                <c:pt idx="4">
                  <c:v>5924</c:v>
                </c:pt>
                <c:pt idx="5">
                  <c:v>6409</c:v>
                </c:pt>
                <c:pt idx="6">
                  <c:v>6658</c:v>
                </c:pt>
                <c:pt idx="7">
                  <c:v>6660</c:v>
                </c:pt>
                <c:pt idx="8">
                  <c:v>6543</c:v>
                </c:pt>
                <c:pt idx="9">
                  <c:v>6444</c:v>
                </c:pt>
                <c:pt idx="10">
                  <c:v>6327</c:v>
                </c:pt>
                <c:pt idx="11">
                  <c:v>6343</c:v>
                </c:pt>
                <c:pt idx="12">
                  <c:v>6524</c:v>
                </c:pt>
                <c:pt idx="13">
                  <c:v>6486</c:v>
                </c:pt>
                <c:pt idx="14">
                  <c:v>6374</c:v>
                </c:pt>
                <c:pt idx="15">
                  <c:v>6199</c:v>
                </c:pt>
                <c:pt idx="16">
                  <c:v>6101</c:v>
                </c:pt>
                <c:pt idx="17">
                  <c:v>5889</c:v>
                </c:pt>
                <c:pt idx="18">
                  <c:v>5681</c:v>
                </c:pt>
                <c:pt idx="19">
                  <c:v>5451</c:v>
                </c:pt>
                <c:pt idx="20">
                  <c:v>5205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6E8-41ED-9F68-E7CD85DCA564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Narrow Silicosis Prevalence</c:v>
                </c:pt>
              </c:strCache>
            </c:strRef>
          </c:tx>
          <c:spPr>
            <a:solidFill>
              <a:schemeClr val="bg1"/>
            </a:solidFill>
            <a:ln>
              <a:solidFill>
                <a:schemeClr val="tx1"/>
              </a:solidFill>
            </a:ln>
            <a:effectLst/>
          </c:spPr>
          <c:invertIfNegative val="0"/>
          <c:cat>
            <c:numRef>
              <c:f>Sheet1!$A$2:$A$22</c:f>
              <c:numCache>
                <c:formatCode>General</c:formatCode>
                <c:ptCount val="21"/>
                <c:pt idx="0">
                  <c:v>1999</c:v>
                </c:pt>
                <c:pt idx="1">
                  <c:v>2000</c:v>
                </c:pt>
                <c:pt idx="2">
                  <c:v>2001</c:v>
                </c:pt>
                <c:pt idx="3">
                  <c:v>2002</c:v>
                </c:pt>
                <c:pt idx="4">
                  <c:v>2003</c:v>
                </c:pt>
                <c:pt idx="5">
                  <c:v>2004</c:v>
                </c:pt>
                <c:pt idx="6">
                  <c:v>2005</c:v>
                </c:pt>
                <c:pt idx="7">
                  <c:v>2006</c:v>
                </c:pt>
                <c:pt idx="8">
                  <c:v>2007</c:v>
                </c:pt>
                <c:pt idx="9">
                  <c:v>2008</c:v>
                </c:pt>
                <c:pt idx="10">
                  <c:v>2009</c:v>
                </c:pt>
                <c:pt idx="11">
                  <c:v>2010</c:v>
                </c:pt>
                <c:pt idx="12">
                  <c:v>2011</c:v>
                </c:pt>
                <c:pt idx="13">
                  <c:v>2012</c:v>
                </c:pt>
                <c:pt idx="14">
                  <c:v>2013</c:v>
                </c:pt>
                <c:pt idx="15">
                  <c:v>2014</c:v>
                </c:pt>
                <c:pt idx="16">
                  <c:v>2015</c:v>
                </c:pt>
                <c:pt idx="17">
                  <c:v>2016</c:v>
                </c:pt>
                <c:pt idx="18">
                  <c:v>2017</c:v>
                </c:pt>
                <c:pt idx="19">
                  <c:v>2018</c:v>
                </c:pt>
                <c:pt idx="20">
                  <c:v>2019</c:v>
                </c:pt>
              </c:numCache>
            </c:numRef>
          </c:cat>
          <c:val>
            <c:numRef>
              <c:f>Sheet1!$D$2:$D$22</c:f>
              <c:numCache>
                <c:formatCode>General</c:formatCode>
                <c:ptCount val="21"/>
                <c:pt idx="0">
                  <c:v>1645</c:v>
                </c:pt>
                <c:pt idx="1">
                  <c:v>2893</c:v>
                </c:pt>
                <c:pt idx="2">
                  <c:v>3174</c:v>
                </c:pt>
                <c:pt idx="3">
                  <c:v>3605</c:v>
                </c:pt>
                <c:pt idx="4">
                  <c:v>3955</c:v>
                </c:pt>
                <c:pt idx="5">
                  <c:v>4220</c:v>
                </c:pt>
                <c:pt idx="6">
                  <c:v>4498</c:v>
                </c:pt>
                <c:pt idx="7">
                  <c:v>4433</c:v>
                </c:pt>
                <c:pt idx="8">
                  <c:v>4225</c:v>
                </c:pt>
                <c:pt idx="9">
                  <c:v>4117</c:v>
                </c:pt>
                <c:pt idx="10">
                  <c:v>3954</c:v>
                </c:pt>
                <c:pt idx="11">
                  <c:v>3902</c:v>
                </c:pt>
                <c:pt idx="12">
                  <c:v>3946</c:v>
                </c:pt>
                <c:pt idx="13">
                  <c:v>3901</c:v>
                </c:pt>
                <c:pt idx="14">
                  <c:v>3783</c:v>
                </c:pt>
                <c:pt idx="15">
                  <c:v>3637</c:v>
                </c:pt>
                <c:pt idx="16">
                  <c:v>3557</c:v>
                </c:pt>
                <c:pt idx="17">
                  <c:v>3366</c:v>
                </c:pt>
                <c:pt idx="18">
                  <c:v>3281</c:v>
                </c:pt>
                <c:pt idx="19">
                  <c:v>3211</c:v>
                </c:pt>
                <c:pt idx="20">
                  <c:v>3312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6E8-41ED-9F68-E7CD85DCA56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8452864"/>
        <c:axId val="28451200"/>
      </c:barChart>
      <c:lineChart>
        <c:grouping val="standard"/>
        <c:varyColors val="0"/>
        <c:ser>
          <c:idx val="3"/>
          <c:order val="3"/>
          <c:tx>
            <c:strRef>
              <c:f>Sheet1!$E$1</c:f>
              <c:strCache>
                <c:ptCount val="1"/>
                <c:pt idx="0">
                  <c:v>Broad Silicosis PR </c:v>
                </c:pt>
              </c:strCache>
            </c:strRef>
          </c:tx>
          <c:spPr>
            <a:ln w="28575" cap="rnd">
              <a:solidFill>
                <a:schemeClr val="tx1"/>
              </a:solidFill>
              <a:prstDash val="lgDash"/>
              <a:round/>
            </a:ln>
            <a:effectLst/>
          </c:spPr>
          <c:marker>
            <c:symbol val="none"/>
          </c:marker>
          <c:cat>
            <c:numRef>
              <c:f>Sheet1!$A$2:$A$22</c:f>
              <c:numCache>
                <c:formatCode>General</c:formatCode>
                <c:ptCount val="21"/>
                <c:pt idx="0">
                  <c:v>1999</c:v>
                </c:pt>
                <c:pt idx="1">
                  <c:v>2000</c:v>
                </c:pt>
                <c:pt idx="2">
                  <c:v>2001</c:v>
                </c:pt>
                <c:pt idx="3">
                  <c:v>2002</c:v>
                </c:pt>
                <c:pt idx="4">
                  <c:v>2003</c:v>
                </c:pt>
                <c:pt idx="5">
                  <c:v>2004</c:v>
                </c:pt>
                <c:pt idx="6">
                  <c:v>2005</c:v>
                </c:pt>
                <c:pt idx="7">
                  <c:v>2006</c:v>
                </c:pt>
                <c:pt idx="8">
                  <c:v>2007</c:v>
                </c:pt>
                <c:pt idx="9">
                  <c:v>2008</c:v>
                </c:pt>
                <c:pt idx="10">
                  <c:v>2009</c:v>
                </c:pt>
                <c:pt idx="11">
                  <c:v>2010</c:v>
                </c:pt>
                <c:pt idx="12">
                  <c:v>2011</c:v>
                </c:pt>
                <c:pt idx="13">
                  <c:v>2012</c:v>
                </c:pt>
                <c:pt idx="14">
                  <c:v>2013</c:v>
                </c:pt>
                <c:pt idx="15">
                  <c:v>2014</c:v>
                </c:pt>
                <c:pt idx="16">
                  <c:v>2015</c:v>
                </c:pt>
                <c:pt idx="17">
                  <c:v>2016</c:v>
                </c:pt>
                <c:pt idx="18">
                  <c:v>2017</c:v>
                </c:pt>
                <c:pt idx="19">
                  <c:v>2018</c:v>
                </c:pt>
                <c:pt idx="20">
                  <c:v>2019</c:v>
                </c:pt>
              </c:numCache>
            </c:numRef>
          </c:cat>
          <c:val>
            <c:numRef>
              <c:f>Sheet1!$E$2:$E$22</c:f>
              <c:numCache>
                <c:formatCode>0.0</c:formatCode>
                <c:ptCount val="21"/>
                <c:pt idx="0">
                  <c:v>12.037043143282993</c:v>
                </c:pt>
                <c:pt idx="1">
                  <c:v>27.519199452723488</c:v>
                </c:pt>
                <c:pt idx="2">
                  <c:v>26.929211656613074</c:v>
                </c:pt>
                <c:pt idx="3">
                  <c:v>28.841107898971877</c:v>
                </c:pt>
                <c:pt idx="4">
                  <c:v>30.201317548693137</c:v>
                </c:pt>
                <c:pt idx="5">
                  <c:v>31.778019273607931</c:v>
                </c:pt>
                <c:pt idx="6">
                  <c:v>33.120552946288875</c:v>
                </c:pt>
                <c:pt idx="7">
                  <c:v>33.87582100463343</c:v>
                </c:pt>
                <c:pt idx="8">
                  <c:v>33.59231112572288</c:v>
                </c:pt>
                <c:pt idx="9">
                  <c:v>33.648556056531433</c:v>
                </c:pt>
                <c:pt idx="10">
                  <c:v>33.313209836431518</c:v>
                </c:pt>
                <c:pt idx="11">
                  <c:v>32.840064989663858</c:v>
                </c:pt>
                <c:pt idx="12">
                  <c:v>32.611177756073815</c:v>
                </c:pt>
                <c:pt idx="13">
                  <c:v>31.767019786584068</c:v>
                </c:pt>
                <c:pt idx="14">
                  <c:v>30.945691398193322</c:v>
                </c:pt>
                <c:pt idx="15">
                  <c:v>30.044478578792603</c:v>
                </c:pt>
                <c:pt idx="16">
                  <c:v>29.314751562107585</c:v>
                </c:pt>
                <c:pt idx="17">
                  <c:v>27.883026240924313</c:v>
                </c:pt>
                <c:pt idx="18">
                  <c:v>26.787152906332086</c:v>
                </c:pt>
                <c:pt idx="19">
                  <c:v>26.051033475264074</c:v>
                </c:pt>
                <c:pt idx="20">
                  <c:v>25.681312969359073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06E8-41ED-9F68-E7CD85DCA564}"/>
            </c:ext>
          </c:extLst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Intermediate Silicosis PR</c:v>
                </c:pt>
              </c:strCache>
            </c:strRef>
          </c:tx>
          <c:spPr>
            <a:ln w="28575" cap="rnd">
              <a:solidFill>
                <a:schemeClr val="tx1"/>
              </a:solidFill>
              <a:prstDash val="dash"/>
              <a:round/>
            </a:ln>
            <a:effectLst/>
          </c:spPr>
          <c:marker>
            <c:symbol val="none"/>
          </c:marker>
          <c:cat>
            <c:numRef>
              <c:f>Sheet1!$A$2:$A$22</c:f>
              <c:numCache>
                <c:formatCode>General</c:formatCode>
                <c:ptCount val="21"/>
                <c:pt idx="0">
                  <c:v>1999</c:v>
                </c:pt>
                <c:pt idx="1">
                  <c:v>2000</c:v>
                </c:pt>
                <c:pt idx="2">
                  <c:v>2001</c:v>
                </c:pt>
                <c:pt idx="3">
                  <c:v>2002</c:v>
                </c:pt>
                <c:pt idx="4">
                  <c:v>2003</c:v>
                </c:pt>
                <c:pt idx="5">
                  <c:v>2004</c:v>
                </c:pt>
                <c:pt idx="6">
                  <c:v>2005</c:v>
                </c:pt>
                <c:pt idx="7">
                  <c:v>2006</c:v>
                </c:pt>
                <c:pt idx="8">
                  <c:v>2007</c:v>
                </c:pt>
                <c:pt idx="9">
                  <c:v>2008</c:v>
                </c:pt>
                <c:pt idx="10">
                  <c:v>2009</c:v>
                </c:pt>
                <c:pt idx="11">
                  <c:v>2010</c:v>
                </c:pt>
                <c:pt idx="12">
                  <c:v>2011</c:v>
                </c:pt>
                <c:pt idx="13">
                  <c:v>2012</c:v>
                </c:pt>
                <c:pt idx="14">
                  <c:v>2013</c:v>
                </c:pt>
                <c:pt idx="15">
                  <c:v>2014</c:v>
                </c:pt>
                <c:pt idx="16">
                  <c:v>2015</c:v>
                </c:pt>
                <c:pt idx="17">
                  <c:v>2016</c:v>
                </c:pt>
                <c:pt idx="18">
                  <c:v>2017</c:v>
                </c:pt>
                <c:pt idx="19">
                  <c:v>2018</c:v>
                </c:pt>
                <c:pt idx="20">
                  <c:v>2019</c:v>
                </c:pt>
              </c:numCache>
            </c:numRef>
          </c:cat>
          <c:val>
            <c:numRef>
              <c:f>Sheet1!$F$2:$F$22</c:f>
              <c:numCache>
                <c:formatCode>0.0</c:formatCode>
                <c:ptCount val="21"/>
                <c:pt idx="0">
                  <c:v>8.0704015867088579</c:v>
                </c:pt>
                <c:pt idx="1">
                  <c:v>13.387283041719648</c:v>
                </c:pt>
                <c:pt idx="2">
                  <c:v>14.545956139932036</c:v>
                </c:pt>
                <c:pt idx="3">
                  <c:v>16.22821147017947</c:v>
                </c:pt>
                <c:pt idx="4">
                  <c:v>17.465111788213406</c:v>
                </c:pt>
                <c:pt idx="5">
                  <c:v>18.698616004824938</c:v>
                </c:pt>
                <c:pt idx="6">
                  <c:v>19.432203164997471</c:v>
                </c:pt>
                <c:pt idx="7">
                  <c:v>19.960450136322979</c:v>
                </c:pt>
                <c:pt idx="8">
                  <c:v>19.930585028618498</c:v>
                </c:pt>
                <c:pt idx="9">
                  <c:v>19.920192487670054</c:v>
                </c:pt>
                <c:pt idx="10">
                  <c:v>19.643306489757897</c:v>
                </c:pt>
                <c:pt idx="11">
                  <c:v>19.447720308975615</c:v>
                </c:pt>
                <c:pt idx="12">
                  <c:v>19.654071471651324</c:v>
                </c:pt>
                <c:pt idx="13">
                  <c:v>19.377493683418063</c:v>
                </c:pt>
                <c:pt idx="14">
                  <c:v>18.975260891975392</c:v>
                </c:pt>
                <c:pt idx="15">
                  <c:v>18.5540668170886</c:v>
                </c:pt>
                <c:pt idx="16">
                  <c:v>18.212759600857268</c:v>
                </c:pt>
                <c:pt idx="17">
                  <c:v>17.352123167367992</c:v>
                </c:pt>
                <c:pt idx="18">
                  <c:v>16.817086491421438</c:v>
                </c:pt>
                <c:pt idx="19">
                  <c:v>16.29796665599271</c:v>
                </c:pt>
                <c:pt idx="20">
                  <c:v>15.722328158729001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06E8-41ED-9F68-E7CD85DCA564}"/>
            </c:ext>
          </c:extLst>
        </c:ser>
        <c:ser>
          <c:idx val="5"/>
          <c:order val="5"/>
          <c:tx>
            <c:strRef>
              <c:f>Sheet1!$G$1</c:f>
              <c:strCache>
                <c:ptCount val="1"/>
                <c:pt idx="0">
                  <c:v>Narrow Silicosis PR</c:v>
                </c:pt>
              </c:strCache>
            </c:strRef>
          </c:tx>
          <c:spPr>
            <a:ln w="28575" cap="rnd">
              <a:solidFill>
                <a:schemeClr val="tx1"/>
              </a:solidFill>
              <a:prstDash val="sysDot"/>
              <a:round/>
            </a:ln>
            <a:effectLst/>
          </c:spPr>
          <c:marker>
            <c:symbol val="none"/>
          </c:marker>
          <c:cat>
            <c:numRef>
              <c:f>Sheet1!$A$2:$A$22</c:f>
              <c:numCache>
                <c:formatCode>General</c:formatCode>
                <c:ptCount val="21"/>
                <c:pt idx="0">
                  <c:v>1999</c:v>
                </c:pt>
                <c:pt idx="1">
                  <c:v>2000</c:v>
                </c:pt>
                <c:pt idx="2">
                  <c:v>2001</c:v>
                </c:pt>
                <c:pt idx="3">
                  <c:v>2002</c:v>
                </c:pt>
                <c:pt idx="4">
                  <c:v>2003</c:v>
                </c:pt>
                <c:pt idx="5">
                  <c:v>2004</c:v>
                </c:pt>
                <c:pt idx="6">
                  <c:v>2005</c:v>
                </c:pt>
                <c:pt idx="7">
                  <c:v>2006</c:v>
                </c:pt>
                <c:pt idx="8">
                  <c:v>2007</c:v>
                </c:pt>
                <c:pt idx="9">
                  <c:v>2008</c:v>
                </c:pt>
                <c:pt idx="10">
                  <c:v>2009</c:v>
                </c:pt>
                <c:pt idx="11">
                  <c:v>2010</c:v>
                </c:pt>
                <c:pt idx="12">
                  <c:v>2011</c:v>
                </c:pt>
                <c:pt idx="13">
                  <c:v>2012</c:v>
                </c:pt>
                <c:pt idx="14">
                  <c:v>2013</c:v>
                </c:pt>
                <c:pt idx="15">
                  <c:v>2014</c:v>
                </c:pt>
                <c:pt idx="16">
                  <c:v>2015</c:v>
                </c:pt>
                <c:pt idx="17">
                  <c:v>2016</c:v>
                </c:pt>
                <c:pt idx="18">
                  <c:v>2017</c:v>
                </c:pt>
                <c:pt idx="19">
                  <c:v>2018</c:v>
                </c:pt>
                <c:pt idx="20">
                  <c:v>2019</c:v>
                </c:pt>
              </c:numCache>
            </c:numRef>
          </c:cat>
          <c:val>
            <c:numRef>
              <c:f>Sheet1!$G$2:$G$22</c:f>
              <c:numCache>
                <c:formatCode>0.0</c:formatCode>
                <c:ptCount val="21"/>
                <c:pt idx="0">
                  <c:v>5.3704735477896728</c:v>
                </c:pt>
                <c:pt idx="1">
                  <c:v>9.3256464819877056</c:v>
                </c:pt>
                <c:pt idx="2">
                  <c:v>9.9053561012967766</c:v>
                </c:pt>
                <c:pt idx="3">
                  <c:v>10.870067326272203</c:v>
                </c:pt>
                <c:pt idx="4">
                  <c:v>11.660114301550308</c:v>
                </c:pt>
                <c:pt idx="5">
                  <c:v>12.312086057163556</c:v>
                </c:pt>
                <c:pt idx="6">
                  <c:v>13.127973841417637</c:v>
                </c:pt>
                <c:pt idx="7">
                  <c:v>13.285987305453419</c:v>
                </c:pt>
                <c:pt idx="8">
                  <c:v>12.869741975533113</c:v>
                </c:pt>
                <c:pt idx="9">
                  <c:v>12.726789644900311</c:v>
                </c:pt>
                <c:pt idx="10">
                  <c:v>12.275902301328074</c:v>
                </c:pt>
                <c:pt idx="11">
                  <c:v>11.963582633710052</c:v>
                </c:pt>
                <c:pt idx="12">
                  <c:v>11.887640408819147</c:v>
                </c:pt>
                <c:pt idx="13">
                  <c:v>11.654579534229702</c:v>
                </c:pt>
                <c:pt idx="14">
                  <c:v>11.26190962572057</c:v>
                </c:pt>
                <c:pt idx="15">
                  <c:v>10.885810778149899</c:v>
                </c:pt>
                <c:pt idx="16">
                  <c:v>10.618388116743043</c:v>
                </c:pt>
                <c:pt idx="17">
                  <c:v>9.9180245510885818</c:v>
                </c:pt>
                <c:pt idx="18">
                  <c:v>9.7125261007487644</c:v>
                </c:pt>
                <c:pt idx="19">
                  <c:v>9.6005817157205264</c:v>
                </c:pt>
                <c:pt idx="20">
                  <c:v>10.004294113681162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06E8-41ED-9F68-E7CD85DCA56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548656000"/>
        <c:axId val="1548650176"/>
      </c:lineChart>
      <c:catAx>
        <c:axId val="28452864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900" baseline="0"/>
                  <a:t>Year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540000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8451200"/>
        <c:crosses val="autoZero"/>
        <c:auto val="1"/>
        <c:lblAlgn val="ctr"/>
        <c:lblOffset val="100"/>
        <c:noMultiLvlLbl val="0"/>
      </c:catAx>
      <c:valAx>
        <c:axId val="28451200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900"/>
                  <a:t>Number of Silicosis Cases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8452864"/>
        <c:crosses val="autoZero"/>
        <c:crossBetween val="between"/>
      </c:valAx>
      <c:valAx>
        <c:axId val="1548650176"/>
        <c:scaling>
          <c:orientation val="minMax"/>
        </c:scaling>
        <c:delete val="0"/>
        <c:axPos val="r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900" baseline="0"/>
                  <a:t>Cases per 100,000 Beneficiaries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0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548656000"/>
        <c:crosses val="max"/>
        <c:crossBetween val="between"/>
        <c:majorUnit val="10"/>
      </c:valAx>
      <c:catAx>
        <c:axId val="1548656000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548650176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4.1263056094309324E-2"/>
          <c:y val="0.88167260291284422"/>
          <c:w val="0.89437237902293698"/>
          <c:h val="0.1183273970871557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Broad Silicosis Incidence</c:v>
                </c:pt>
              </c:strCache>
            </c:strRef>
          </c:tx>
          <c:spPr>
            <a:solidFill>
              <a:schemeClr val="tx1"/>
            </a:solidFill>
            <a:ln>
              <a:solidFill>
                <a:schemeClr val="tx1"/>
              </a:solidFill>
            </a:ln>
            <a:effectLst/>
          </c:spPr>
          <c:invertIfNegative val="0"/>
          <c:cat>
            <c:numRef>
              <c:f>Sheet1!$A$2:$A$19</c:f>
              <c:numCache>
                <c:formatCode>General</c:formatCode>
                <c:ptCount val="18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</c:numCache>
            </c:numRef>
          </c:cat>
          <c:val>
            <c:numRef>
              <c:f>Sheet1!$B$2:$B$19</c:f>
              <c:numCache>
                <c:formatCode>General</c:formatCode>
                <c:ptCount val="18"/>
                <c:pt idx="0">
                  <c:v>1696</c:v>
                </c:pt>
                <c:pt idx="1">
                  <c:v>1497</c:v>
                </c:pt>
                <c:pt idx="2">
                  <c:v>1462</c:v>
                </c:pt>
                <c:pt idx="3">
                  <c:v>1330</c:v>
                </c:pt>
                <c:pt idx="4">
                  <c:v>1295</c:v>
                </c:pt>
                <c:pt idx="5">
                  <c:v>1021</c:v>
                </c:pt>
                <c:pt idx="6">
                  <c:v>1054</c:v>
                </c:pt>
                <c:pt idx="7">
                  <c:v>959</c:v>
                </c:pt>
                <c:pt idx="8">
                  <c:v>844</c:v>
                </c:pt>
                <c:pt idx="9">
                  <c:v>941</c:v>
                </c:pt>
                <c:pt idx="10">
                  <c:v>848</c:v>
                </c:pt>
                <c:pt idx="11">
                  <c:v>843</c:v>
                </c:pt>
                <c:pt idx="12">
                  <c:v>781</c:v>
                </c:pt>
                <c:pt idx="13">
                  <c:v>700</c:v>
                </c:pt>
                <c:pt idx="14">
                  <c:v>629</c:v>
                </c:pt>
                <c:pt idx="15">
                  <c:v>633</c:v>
                </c:pt>
                <c:pt idx="16">
                  <c:v>668</c:v>
                </c:pt>
                <c:pt idx="17">
                  <c:v>720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05A-49B9-8609-F5FE499A2070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Intermediate Silicosis Incidence</c:v>
                </c:pt>
              </c:strCache>
            </c:strRef>
          </c:tx>
          <c:spPr>
            <a:solidFill>
              <a:schemeClr val="tx1">
                <a:lumMod val="50000"/>
                <a:lumOff val="50000"/>
              </a:schemeClr>
            </a:solidFill>
            <a:ln>
              <a:solidFill>
                <a:schemeClr val="tx1">
                  <a:lumMod val="50000"/>
                  <a:lumOff val="50000"/>
                </a:schemeClr>
              </a:solidFill>
            </a:ln>
            <a:effectLst/>
          </c:spPr>
          <c:invertIfNegative val="0"/>
          <c:cat>
            <c:numRef>
              <c:f>Sheet1!$A$2:$A$19</c:f>
              <c:numCache>
                <c:formatCode>General</c:formatCode>
                <c:ptCount val="18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</c:numCache>
            </c:numRef>
          </c:cat>
          <c:val>
            <c:numRef>
              <c:f>Sheet1!$C$2:$C$19</c:f>
              <c:numCache>
                <c:formatCode>General</c:formatCode>
                <c:ptCount val="18"/>
                <c:pt idx="0">
                  <c:v>1059</c:v>
                </c:pt>
                <c:pt idx="1">
                  <c:v>944</c:v>
                </c:pt>
                <c:pt idx="2">
                  <c:v>889</c:v>
                </c:pt>
                <c:pt idx="3">
                  <c:v>802</c:v>
                </c:pt>
                <c:pt idx="4">
                  <c:v>763</c:v>
                </c:pt>
                <c:pt idx="5">
                  <c:v>629</c:v>
                </c:pt>
                <c:pt idx="6">
                  <c:v>640</c:v>
                </c:pt>
                <c:pt idx="7">
                  <c:v>570</c:v>
                </c:pt>
                <c:pt idx="8">
                  <c:v>512</c:v>
                </c:pt>
                <c:pt idx="9">
                  <c:v>614</c:v>
                </c:pt>
                <c:pt idx="10">
                  <c:v>552</c:v>
                </c:pt>
                <c:pt idx="11">
                  <c:v>542</c:v>
                </c:pt>
                <c:pt idx="12">
                  <c:v>503</c:v>
                </c:pt>
                <c:pt idx="13">
                  <c:v>448</c:v>
                </c:pt>
                <c:pt idx="14">
                  <c:v>421</c:v>
                </c:pt>
                <c:pt idx="15">
                  <c:v>423</c:v>
                </c:pt>
                <c:pt idx="16">
                  <c:v>391</c:v>
                </c:pt>
                <c:pt idx="17">
                  <c:v>363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05A-49B9-8609-F5FE499A2070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Narrow Silicosis Incidence</c:v>
                </c:pt>
              </c:strCache>
            </c:strRef>
          </c:tx>
          <c:spPr>
            <a:solidFill>
              <a:schemeClr val="bg1"/>
            </a:solidFill>
            <a:ln>
              <a:solidFill>
                <a:schemeClr val="tx1"/>
              </a:solidFill>
            </a:ln>
            <a:effectLst/>
          </c:spPr>
          <c:invertIfNegative val="0"/>
          <c:cat>
            <c:numRef>
              <c:f>Sheet1!$A$2:$A$19</c:f>
              <c:numCache>
                <c:formatCode>General</c:formatCode>
                <c:ptCount val="18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</c:numCache>
            </c:numRef>
          </c:cat>
          <c:val>
            <c:numRef>
              <c:f>Sheet1!$D$2:$D$19</c:f>
              <c:numCache>
                <c:formatCode>General</c:formatCode>
                <c:ptCount val="18"/>
                <c:pt idx="0">
                  <c:v>864</c:v>
                </c:pt>
                <c:pt idx="1">
                  <c:v>777</c:v>
                </c:pt>
                <c:pt idx="2">
                  <c:v>725</c:v>
                </c:pt>
                <c:pt idx="3">
                  <c:v>693</c:v>
                </c:pt>
                <c:pt idx="4">
                  <c:v>625</c:v>
                </c:pt>
                <c:pt idx="5">
                  <c:v>502</c:v>
                </c:pt>
                <c:pt idx="6">
                  <c:v>488</c:v>
                </c:pt>
                <c:pt idx="7">
                  <c:v>413</c:v>
                </c:pt>
                <c:pt idx="8">
                  <c:v>379</c:v>
                </c:pt>
                <c:pt idx="9">
                  <c:v>453</c:v>
                </c:pt>
                <c:pt idx="10">
                  <c:v>407</c:v>
                </c:pt>
                <c:pt idx="11">
                  <c:v>370</c:v>
                </c:pt>
                <c:pt idx="12">
                  <c:v>354</c:v>
                </c:pt>
                <c:pt idx="13">
                  <c:v>295</c:v>
                </c:pt>
                <c:pt idx="14">
                  <c:v>283</c:v>
                </c:pt>
                <c:pt idx="15">
                  <c:v>281</c:v>
                </c:pt>
                <c:pt idx="16">
                  <c:v>256</c:v>
                </c:pt>
                <c:pt idx="17">
                  <c:v>236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05A-49B9-8609-F5FE499A207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29279072"/>
        <c:axId val="28452032"/>
      </c:barChart>
      <c:lineChart>
        <c:grouping val="standard"/>
        <c:varyColors val="0"/>
        <c:ser>
          <c:idx val="3"/>
          <c:order val="3"/>
          <c:tx>
            <c:strRef>
              <c:f>Sheet1!$E$1</c:f>
              <c:strCache>
                <c:ptCount val="1"/>
                <c:pt idx="0">
                  <c:v>Broad Silicosis IR</c:v>
                </c:pt>
              </c:strCache>
            </c:strRef>
          </c:tx>
          <c:spPr>
            <a:ln w="28575" cap="rnd">
              <a:solidFill>
                <a:schemeClr val="tx1"/>
              </a:solidFill>
              <a:prstDash val="lgDash"/>
              <a:round/>
            </a:ln>
            <a:effectLst/>
          </c:spPr>
          <c:marker>
            <c:symbol val="none"/>
          </c:marker>
          <c:cat>
            <c:numRef>
              <c:f>Sheet1!$A$2:$A$19</c:f>
              <c:numCache>
                <c:formatCode>General</c:formatCode>
                <c:ptCount val="18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</c:numCache>
            </c:numRef>
          </c:cat>
          <c:val>
            <c:numRef>
              <c:f>Sheet1!$E$2:$E$19</c:f>
              <c:numCache>
                <c:formatCode>0.0</c:formatCode>
                <c:ptCount val="18"/>
                <c:pt idx="0">
                  <c:v>6.9663283177960116</c:v>
                </c:pt>
                <c:pt idx="1">
                  <c:v>6.0559102508437315</c:v>
                </c:pt>
                <c:pt idx="2">
                  <c:v>5.7204007410696995</c:v>
                </c:pt>
                <c:pt idx="3">
                  <c:v>5.0410309598138108</c:v>
                </c:pt>
                <c:pt idx="4">
                  <c:v>4.8746714443214838</c:v>
                </c:pt>
                <c:pt idx="5">
                  <c:v>3.9361272563435064</c:v>
                </c:pt>
                <c:pt idx="6">
                  <c:v>4.1489883613003622</c:v>
                </c:pt>
                <c:pt idx="7">
                  <c:v>3.8457182839322281</c:v>
                </c:pt>
                <c:pt idx="8">
                  <c:v>3.4059357227290685</c:v>
                </c:pt>
                <c:pt idx="9">
                  <c:v>3.8017943984741107</c:v>
                </c:pt>
                <c:pt idx="10">
                  <c:v>3.40045748183051</c:v>
                </c:pt>
                <c:pt idx="11">
                  <c:v>3.3524733180108468</c:v>
                </c:pt>
                <c:pt idx="12">
                  <c:v>3.1017783635192102</c:v>
                </c:pt>
                <c:pt idx="13">
                  <c:v>2.793245485496791</c:v>
                </c:pt>
                <c:pt idx="14">
                  <c:v>2.5027052293886509</c:v>
                </c:pt>
                <c:pt idx="15">
                  <c:v>2.4911811988783938</c:v>
                </c:pt>
                <c:pt idx="16">
                  <c:v>2.6261711081785535</c:v>
                </c:pt>
                <c:pt idx="17">
                  <c:v>2.829582276628452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A05A-49B9-8609-F5FE499A2070}"/>
            </c:ext>
          </c:extLst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Intermediate Silicosis IR</c:v>
                </c:pt>
              </c:strCache>
            </c:strRef>
          </c:tx>
          <c:spPr>
            <a:ln w="28575" cap="rnd">
              <a:solidFill>
                <a:schemeClr val="tx1"/>
              </a:solidFill>
              <a:prstDash val="dash"/>
              <a:round/>
            </a:ln>
            <a:effectLst/>
          </c:spPr>
          <c:marker>
            <c:symbol val="none"/>
          </c:marker>
          <c:cat>
            <c:numRef>
              <c:f>Sheet1!$A$2:$A$19</c:f>
              <c:numCache>
                <c:formatCode>General</c:formatCode>
                <c:ptCount val="18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</c:numCache>
            </c:numRef>
          </c:cat>
          <c:val>
            <c:numRef>
              <c:f>Sheet1!$F$2:$F$19</c:f>
              <c:numCache>
                <c:formatCode>0.0</c:formatCode>
                <c:ptCount val="18"/>
                <c:pt idx="0">
                  <c:v>4.3498476937181465</c:v>
                </c:pt>
                <c:pt idx="1">
                  <c:v>3.8188238321953794</c:v>
                </c:pt>
                <c:pt idx="2">
                  <c:v>3.4784105737421087</c:v>
                </c:pt>
                <c:pt idx="3">
                  <c:v>3.0397795712561475</c:v>
                </c:pt>
                <c:pt idx="4">
                  <c:v>2.872103715843469</c:v>
                </c:pt>
                <c:pt idx="5">
                  <c:v>2.4249011207052553</c:v>
                </c:pt>
                <c:pt idx="6">
                  <c:v>2.5193098209034459</c:v>
                </c:pt>
                <c:pt idx="7">
                  <c:v>2.2857762480097703</c:v>
                </c:pt>
                <c:pt idx="8">
                  <c:v>2.0661600592858802</c:v>
                </c:pt>
                <c:pt idx="9">
                  <c:v>2.4806607445941595</c:v>
                </c:pt>
                <c:pt idx="10">
                  <c:v>2.2135053419462754</c:v>
                </c:pt>
                <c:pt idx="11">
                  <c:v>2.1554454784838422</c:v>
                </c:pt>
                <c:pt idx="12">
                  <c:v>1.9976882418055861</c:v>
                </c:pt>
                <c:pt idx="13">
                  <c:v>1.7876771107179461</c:v>
                </c:pt>
                <c:pt idx="14">
                  <c:v>1.6751015923253132</c:v>
                </c:pt>
                <c:pt idx="15">
                  <c:v>1.664722981241012</c:v>
                </c:pt>
                <c:pt idx="16">
                  <c:v>1.537175004936848</c:v>
                </c:pt>
                <c:pt idx="17">
                  <c:v>1.4265810644668446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A05A-49B9-8609-F5FE499A2070}"/>
            </c:ext>
          </c:extLst>
        </c:ser>
        <c:ser>
          <c:idx val="5"/>
          <c:order val="5"/>
          <c:tx>
            <c:strRef>
              <c:f>Sheet1!$G$1</c:f>
              <c:strCache>
                <c:ptCount val="1"/>
                <c:pt idx="0">
                  <c:v>Narrow Silicosis IR</c:v>
                </c:pt>
              </c:strCache>
            </c:strRef>
          </c:tx>
          <c:spPr>
            <a:ln w="28575" cap="rnd">
              <a:solidFill>
                <a:schemeClr val="tx1"/>
              </a:solidFill>
              <a:prstDash val="sysDot"/>
              <a:round/>
            </a:ln>
            <a:effectLst/>
          </c:spPr>
          <c:marker>
            <c:symbol val="none"/>
          </c:marker>
          <c:cat>
            <c:numRef>
              <c:f>Sheet1!$A$2:$A$19</c:f>
              <c:numCache>
                <c:formatCode>General</c:formatCode>
                <c:ptCount val="18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</c:numCache>
            </c:numRef>
          </c:cat>
          <c:val>
            <c:numRef>
              <c:f>Sheet1!$G$2:$G$19</c:f>
              <c:numCache>
                <c:formatCode>0.0</c:formatCode>
                <c:ptCount val="18"/>
                <c:pt idx="0">
                  <c:v>3.5488842373677794</c:v>
                </c:pt>
                <c:pt idx="1">
                  <c:v>3.1432480059489509</c:v>
                </c:pt>
                <c:pt idx="2">
                  <c:v>2.8367240337041943</c:v>
                </c:pt>
                <c:pt idx="3">
                  <c:v>2.6266424474819332</c:v>
                </c:pt>
                <c:pt idx="4">
                  <c:v>2.3526406584563149</c:v>
                </c:pt>
                <c:pt idx="5">
                  <c:v>1.9352946941081686</c:v>
                </c:pt>
                <c:pt idx="6">
                  <c:v>1.9209737384388774</c:v>
                </c:pt>
                <c:pt idx="7">
                  <c:v>1.6561852463649742</c:v>
                </c:pt>
                <c:pt idx="8">
                  <c:v>1.5294427001354465</c:v>
                </c:pt>
                <c:pt idx="9">
                  <c:v>1.8301943278520427</c:v>
                </c:pt>
                <c:pt idx="10">
                  <c:v>1.6320591923408223</c:v>
                </c:pt>
                <c:pt idx="11">
                  <c:v>1.4714295701826967</c:v>
                </c:pt>
                <c:pt idx="12">
                  <c:v>1.4059277089446869</c:v>
                </c:pt>
                <c:pt idx="13">
                  <c:v>1.1771534546022191</c:v>
                </c:pt>
                <c:pt idx="14">
                  <c:v>1.1260184100429065</c:v>
                </c:pt>
                <c:pt idx="15">
                  <c:v>1.1058798055052586</c:v>
                </c:pt>
                <c:pt idx="16">
                  <c:v>1.0064368318768109</c:v>
                </c:pt>
                <c:pt idx="17">
                  <c:v>0.92747419067265935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A05A-49B9-8609-F5FE499A207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069967248"/>
        <c:axId val="1069969744"/>
      </c:lineChart>
      <c:catAx>
        <c:axId val="29279072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900"/>
                  <a:t>Year</a:t>
                </a:r>
              </a:p>
            </c:rich>
          </c:tx>
          <c:layout>
            <c:manualLayout>
              <c:xMode val="edge"/>
              <c:yMode val="edge"/>
              <c:x val="0.48880264241824745"/>
              <c:y val="0.76285257575885723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5400000" spcFirstLastPara="1" vertOverflow="ellipsis" wrap="square" anchor="t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8452032"/>
        <c:crosses val="autoZero"/>
        <c:auto val="1"/>
        <c:lblAlgn val="ctr"/>
        <c:lblOffset val="100"/>
        <c:noMultiLvlLbl val="0"/>
      </c:catAx>
      <c:valAx>
        <c:axId val="28452032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900"/>
                  <a:t>Number of Silicosis</a:t>
                </a:r>
                <a:r>
                  <a:rPr lang="en-US" sz="900" baseline="0"/>
                  <a:t> Cases</a:t>
                </a:r>
                <a:endParaRPr lang="en-US" sz="900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9279072"/>
        <c:crosses val="autoZero"/>
        <c:crossBetween val="between"/>
      </c:valAx>
      <c:valAx>
        <c:axId val="1069969744"/>
        <c:scaling>
          <c:orientation val="minMax"/>
          <c:max val="20"/>
          <c:min val="0"/>
        </c:scaling>
        <c:delete val="0"/>
        <c:axPos val="r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900" baseline="0"/>
                  <a:t>Cases per 100,000 Beneficiaries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0" sourceLinked="0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069967248"/>
        <c:crosses val="max"/>
        <c:crossBetween val="between"/>
        <c:majorUnit val="10"/>
      </c:valAx>
      <c:catAx>
        <c:axId val="1069967248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069969744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5.6174384483195852E-2"/>
          <c:y val="0.82724584239000198"/>
          <c:w val="0.88365027336175894"/>
          <c:h val="0.1154680852863316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0819681325569216"/>
          <c:y val="4.4679171900105993E-2"/>
          <c:w val="0.80276469554114194"/>
          <c:h val="0.7315995032683306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Broad Byssinosis+ Prevalence</c:v>
                </c:pt>
              </c:strCache>
            </c:strRef>
          </c:tx>
          <c:spPr>
            <a:solidFill>
              <a:schemeClr val="tx1"/>
            </a:solidFill>
            <a:ln>
              <a:solidFill>
                <a:schemeClr val="tx1"/>
              </a:solidFill>
            </a:ln>
            <a:effectLst/>
          </c:spPr>
          <c:invertIfNegative val="0"/>
          <c:cat>
            <c:numRef>
              <c:f>Sheet1!$A$2:$A$22</c:f>
              <c:numCache>
                <c:formatCode>General</c:formatCode>
                <c:ptCount val="21"/>
                <c:pt idx="0">
                  <c:v>1999</c:v>
                </c:pt>
                <c:pt idx="1">
                  <c:v>2000</c:v>
                </c:pt>
                <c:pt idx="2">
                  <c:v>2001</c:v>
                </c:pt>
                <c:pt idx="3">
                  <c:v>2002</c:v>
                </c:pt>
                <c:pt idx="4">
                  <c:v>2003</c:v>
                </c:pt>
                <c:pt idx="5">
                  <c:v>2004</c:v>
                </c:pt>
                <c:pt idx="6">
                  <c:v>2005</c:v>
                </c:pt>
                <c:pt idx="7">
                  <c:v>2006</c:v>
                </c:pt>
                <c:pt idx="8">
                  <c:v>2007</c:v>
                </c:pt>
                <c:pt idx="9">
                  <c:v>2008</c:v>
                </c:pt>
                <c:pt idx="10">
                  <c:v>2009</c:v>
                </c:pt>
                <c:pt idx="11">
                  <c:v>2010</c:v>
                </c:pt>
                <c:pt idx="12">
                  <c:v>2011</c:v>
                </c:pt>
                <c:pt idx="13">
                  <c:v>2012</c:v>
                </c:pt>
                <c:pt idx="14">
                  <c:v>2013</c:v>
                </c:pt>
                <c:pt idx="15">
                  <c:v>2014</c:v>
                </c:pt>
                <c:pt idx="16">
                  <c:v>2015</c:v>
                </c:pt>
                <c:pt idx="17">
                  <c:v>2016</c:v>
                </c:pt>
                <c:pt idx="18">
                  <c:v>2017</c:v>
                </c:pt>
                <c:pt idx="19">
                  <c:v>2018</c:v>
                </c:pt>
                <c:pt idx="20">
                  <c:v>2019</c:v>
                </c:pt>
              </c:numCache>
            </c:numRef>
          </c:cat>
          <c:val>
            <c:numRef>
              <c:f>Sheet1!$B$2:$B$22</c:f>
              <c:numCache>
                <c:formatCode>General</c:formatCode>
                <c:ptCount val="21"/>
                <c:pt idx="0">
                  <c:v>668</c:v>
                </c:pt>
                <c:pt idx="1">
                  <c:v>1131</c:v>
                </c:pt>
                <c:pt idx="2">
                  <c:v>1584</c:v>
                </c:pt>
                <c:pt idx="3">
                  <c:v>1957</c:v>
                </c:pt>
                <c:pt idx="4">
                  <c:v>2317</c:v>
                </c:pt>
                <c:pt idx="5">
                  <c:v>2625</c:v>
                </c:pt>
                <c:pt idx="6">
                  <c:v>2891</c:v>
                </c:pt>
                <c:pt idx="7">
                  <c:v>2945</c:v>
                </c:pt>
                <c:pt idx="8">
                  <c:v>2995</c:v>
                </c:pt>
                <c:pt idx="9">
                  <c:v>3091</c:v>
                </c:pt>
                <c:pt idx="10">
                  <c:v>3123</c:v>
                </c:pt>
                <c:pt idx="11">
                  <c:v>3206</c:v>
                </c:pt>
                <c:pt idx="12">
                  <c:v>3273</c:v>
                </c:pt>
                <c:pt idx="13">
                  <c:v>3255</c:v>
                </c:pt>
                <c:pt idx="14">
                  <c:v>3270</c:v>
                </c:pt>
                <c:pt idx="15">
                  <c:v>3307</c:v>
                </c:pt>
                <c:pt idx="16">
                  <c:v>3745</c:v>
                </c:pt>
                <c:pt idx="17">
                  <c:v>4784</c:v>
                </c:pt>
                <c:pt idx="18">
                  <c:v>5388</c:v>
                </c:pt>
                <c:pt idx="19">
                  <c:v>5845</c:v>
                </c:pt>
                <c:pt idx="20">
                  <c:v>6890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E13-4A97-B718-1F423C714780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Intermediate Byssinosis+ Prevalence</c:v>
                </c:pt>
              </c:strCache>
            </c:strRef>
          </c:tx>
          <c:spPr>
            <a:solidFill>
              <a:schemeClr val="tx1">
                <a:lumMod val="50000"/>
                <a:lumOff val="50000"/>
              </a:schemeClr>
            </a:solidFill>
            <a:ln>
              <a:solidFill>
                <a:schemeClr val="tx1">
                  <a:lumMod val="50000"/>
                  <a:lumOff val="50000"/>
                </a:schemeClr>
              </a:solidFill>
            </a:ln>
            <a:effectLst/>
          </c:spPr>
          <c:invertIfNegative val="0"/>
          <c:cat>
            <c:numRef>
              <c:f>Sheet1!$A$2:$A$22</c:f>
              <c:numCache>
                <c:formatCode>General</c:formatCode>
                <c:ptCount val="21"/>
                <c:pt idx="0">
                  <c:v>1999</c:v>
                </c:pt>
                <c:pt idx="1">
                  <c:v>2000</c:v>
                </c:pt>
                <c:pt idx="2">
                  <c:v>2001</c:v>
                </c:pt>
                <c:pt idx="3">
                  <c:v>2002</c:v>
                </c:pt>
                <c:pt idx="4">
                  <c:v>2003</c:v>
                </c:pt>
                <c:pt idx="5">
                  <c:v>2004</c:v>
                </c:pt>
                <c:pt idx="6">
                  <c:v>2005</c:v>
                </c:pt>
                <c:pt idx="7">
                  <c:v>2006</c:v>
                </c:pt>
                <c:pt idx="8">
                  <c:v>2007</c:v>
                </c:pt>
                <c:pt idx="9">
                  <c:v>2008</c:v>
                </c:pt>
                <c:pt idx="10">
                  <c:v>2009</c:v>
                </c:pt>
                <c:pt idx="11">
                  <c:v>2010</c:v>
                </c:pt>
                <c:pt idx="12">
                  <c:v>2011</c:v>
                </c:pt>
                <c:pt idx="13">
                  <c:v>2012</c:v>
                </c:pt>
                <c:pt idx="14">
                  <c:v>2013</c:v>
                </c:pt>
                <c:pt idx="15">
                  <c:v>2014</c:v>
                </c:pt>
                <c:pt idx="16">
                  <c:v>2015</c:v>
                </c:pt>
                <c:pt idx="17">
                  <c:v>2016</c:v>
                </c:pt>
                <c:pt idx="18">
                  <c:v>2017</c:v>
                </c:pt>
                <c:pt idx="19">
                  <c:v>2018</c:v>
                </c:pt>
                <c:pt idx="20">
                  <c:v>2019</c:v>
                </c:pt>
              </c:numCache>
            </c:numRef>
          </c:cat>
          <c:val>
            <c:numRef>
              <c:f>Sheet1!$C$2:$C$22</c:f>
              <c:numCache>
                <c:formatCode>General</c:formatCode>
                <c:ptCount val="21"/>
                <c:pt idx="0">
                  <c:v>227</c:v>
                </c:pt>
                <c:pt idx="1">
                  <c:v>362</c:v>
                </c:pt>
                <c:pt idx="2">
                  <c:v>467</c:v>
                </c:pt>
                <c:pt idx="3">
                  <c:v>562</c:v>
                </c:pt>
                <c:pt idx="4">
                  <c:v>655</c:v>
                </c:pt>
                <c:pt idx="5">
                  <c:v>766</c:v>
                </c:pt>
                <c:pt idx="6">
                  <c:v>909</c:v>
                </c:pt>
                <c:pt idx="7">
                  <c:v>920</c:v>
                </c:pt>
                <c:pt idx="8">
                  <c:v>927</c:v>
                </c:pt>
                <c:pt idx="9">
                  <c:v>971</c:v>
                </c:pt>
                <c:pt idx="10">
                  <c:v>992</c:v>
                </c:pt>
                <c:pt idx="11">
                  <c:v>1021</c:v>
                </c:pt>
                <c:pt idx="12">
                  <c:v>1053</c:v>
                </c:pt>
                <c:pt idx="13">
                  <c:v>1031</c:v>
                </c:pt>
                <c:pt idx="14">
                  <c:v>1039</c:v>
                </c:pt>
                <c:pt idx="15">
                  <c:v>1106</c:v>
                </c:pt>
                <c:pt idx="16">
                  <c:v>1310</c:v>
                </c:pt>
                <c:pt idx="17">
                  <c:v>1773</c:v>
                </c:pt>
                <c:pt idx="18">
                  <c:v>2080</c:v>
                </c:pt>
                <c:pt idx="19">
                  <c:v>2300</c:v>
                </c:pt>
                <c:pt idx="20">
                  <c:v>2601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E13-4A97-B718-1F423C714780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Narrow Byssinosis+ Prevalence</c:v>
                </c:pt>
              </c:strCache>
            </c:strRef>
          </c:tx>
          <c:spPr>
            <a:solidFill>
              <a:schemeClr val="bg1"/>
            </a:solidFill>
            <a:ln>
              <a:solidFill>
                <a:schemeClr val="tx1"/>
              </a:solidFill>
            </a:ln>
            <a:effectLst/>
          </c:spPr>
          <c:invertIfNegative val="0"/>
          <c:cat>
            <c:numRef>
              <c:f>Sheet1!$A$2:$A$22</c:f>
              <c:numCache>
                <c:formatCode>General</c:formatCode>
                <c:ptCount val="21"/>
                <c:pt idx="0">
                  <c:v>1999</c:v>
                </c:pt>
                <c:pt idx="1">
                  <c:v>2000</c:v>
                </c:pt>
                <c:pt idx="2">
                  <c:v>2001</c:v>
                </c:pt>
                <c:pt idx="3">
                  <c:v>2002</c:v>
                </c:pt>
                <c:pt idx="4">
                  <c:v>2003</c:v>
                </c:pt>
                <c:pt idx="5">
                  <c:v>2004</c:v>
                </c:pt>
                <c:pt idx="6">
                  <c:v>2005</c:v>
                </c:pt>
                <c:pt idx="7">
                  <c:v>2006</c:v>
                </c:pt>
                <c:pt idx="8">
                  <c:v>2007</c:v>
                </c:pt>
                <c:pt idx="9">
                  <c:v>2008</c:v>
                </c:pt>
                <c:pt idx="10">
                  <c:v>2009</c:v>
                </c:pt>
                <c:pt idx="11">
                  <c:v>2010</c:v>
                </c:pt>
                <c:pt idx="12">
                  <c:v>2011</c:v>
                </c:pt>
                <c:pt idx="13">
                  <c:v>2012</c:v>
                </c:pt>
                <c:pt idx="14">
                  <c:v>2013</c:v>
                </c:pt>
                <c:pt idx="15">
                  <c:v>2014</c:v>
                </c:pt>
                <c:pt idx="16">
                  <c:v>2015</c:v>
                </c:pt>
                <c:pt idx="17">
                  <c:v>2016</c:v>
                </c:pt>
                <c:pt idx="18">
                  <c:v>2017</c:v>
                </c:pt>
                <c:pt idx="19">
                  <c:v>2018</c:v>
                </c:pt>
                <c:pt idx="20">
                  <c:v>2019</c:v>
                </c:pt>
              </c:numCache>
            </c:numRef>
          </c:cat>
          <c:val>
            <c:numRef>
              <c:f>Sheet1!$D$2:$D$22</c:f>
              <c:numCache>
                <c:formatCode>General</c:formatCode>
                <c:ptCount val="21"/>
                <c:pt idx="0">
                  <c:v>145</c:v>
                </c:pt>
                <c:pt idx="1">
                  <c:v>242</c:v>
                </c:pt>
                <c:pt idx="2">
                  <c:v>305</c:v>
                </c:pt>
                <c:pt idx="3">
                  <c:v>346</c:v>
                </c:pt>
                <c:pt idx="4">
                  <c:v>397</c:v>
                </c:pt>
                <c:pt idx="5">
                  <c:v>466</c:v>
                </c:pt>
                <c:pt idx="6">
                  <c:v>542</c:v>
                </c:pt>
                <c:pt idx="7">
                  <c:v>536</c:v>
                </c:pt>
                <c:pt idx="8">
                  <c:v>529</c:v>
                </c:pt>
                <c:pt idx="9">
                  <c:v>562</c:v>
                </c:pt>
                <c:pt idx="10">
                  <c:v>563</c:v>
                </c:pt>
                <c:pt idx="11">
                  <c:v>585</c:v>
                </c:pt>
                <c:pt idx="12">
                  <c:v>599</c:v>
                </c:pt>
                <c:pt idx="13">
                  <c:v>566</c:v>
                </c:pt>
                <c:pt idx="14">
                  <c:v>565</c:v>
                </c:pt>
                <c:pt idx="15">
                  <c:v>590</c:v>
                </c:pt>
                <c:pt idx="16">
                  <c:v>676</c:v>
                </c:pt>
                <c:pt idx="17">
                  <c:v>854</c:v>
                </c:pt>
                <c:pt idx="18">
                  <c:v>1004</c:v>
                </c:pt>
                <c:pt idx="19">
                  <c:v>1112</c:v>
                </c:pt>
                <c:pt idx="20">
                  <c:v>1361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E13-4A97-B718-1F423C71478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8452864"/>
        <c:axId val="28451200"/>
      </c:barChart>
      <c:lineChart>
        <c:grouping val="standard"/>
        <c:varyColors val="0"/>
        <c:ser>
          <c:idx val="3"/>
          <c:order val="3"/>
          <c:tx>
            <c:strRef>
              <c:f>Sheet1!$E$1</c:f>
              <c:strCache>
                <c:ptCount val="1"/>
                <c:pt idx="0">
                  <c:v>Broad Byssinosis+ PR </c:v>
                </c:pt>
              </c:strCache>
            </c:strRef>
          </c:tx>
          <c:spPr>
            <a:ln w="28575" cap="rnd">
              <a:solidFill>
                <a:schemeClr val="tx1"/>
              </a:solidFill>
              <a:prstDash val="lgDash"/>
              <a:round/>
            </a:ln>
            <a:effectLst/>
          </c:spPr>
          <c:marker>
            <c:symbol val="none"/>
          </c:marker>
          <c:cat>
            <c:numRef>
              <c:f>Sheet1!$A$2:$A$22</c:f>
              <c:numCache>
                <c:formatCode>General</c:formatCode>
                <c:ptCount val="21"/>
                <c:pt idx="0">
                  <c:v>1999</c:v>
                </c:pt>
                <c:pt idx="1">
                  <c:v>2000</c:v>
                </c:pt>
                <c:pt idx="2">
                  <c:v>2001</c:v>
                </c:pt>
                <c:pt idx="3">
                  <c:v>2002</c:v>
                </c:pt>
                <c:pt idx="4">
                  <c:v>2003</c:v>
                </c:pt>
                <c:pt idx="5">
                  <c:v>2004</c:v>
                </c:pt>
                <c:pt idx="6">
                  <c:v>2005</c:v>
                </c:pt>
                <c:pt idx="7">
                  <c:v>2006</c:v>
                </c:pt>
                <c:pt idx="8">
                  <c:v>2007</c:v>
                </c:pt>
                <c:pt idx="9">
                  <c:v>2008</c:v>
                </c:pt>
                <c:pt idx="10">
                  <c:v>2009</c:v>
                </c:pt>
                <c:pt idx="11">
                  <c:v>2010</c:v>
                </c:pt>
                <c:pt idx="12">
                  <c:v>2011</c:v>
                </c:pt>
                <c:pt idx="13">
                  <c:v>2012</c:v>
                </c:pt>
                <c:pt idx="14">
                  <c:v>2013</c:v>
                </c:pt>
                <c:pt idx="15">
                  <c:v>2014</c:v>
                </c:pt>
                <c:pt idx="16">
                  <c:v>2015</c:v>
                </c:pt>
                <c:pt idx="17">
                  <c:v>2016</c:v>
                </c:pt>
                <c:pt idx="18">
                  <c:v>2017</c:v>
                </c:pt>
                <c:pt idx="19">
                  <c:v>2018</c:v>
                </c:pt>
                <c:pt idx="20">
                  <c:v>2019</c:v>
                </c:pt>
              </c:numCache>
            </c:numRef>
          </c:cat>
          <c:val>
            <c:numRef>
              <c:f>Sheet1!$E$2:$E$22</c:f>
              <c:numCache>
                <c:formatCode>0.0</c:formatCode>
                <c:ptCount val="21"/>
                <c:pt idx="0">
                  <c:v>2.180836674725533</c:v>
                </c:pt>
                <c:pt idx="1">
                  <c:v>3.6458023405212909</c:v>
                </c:pt>
                <c:pt idx="2">
                  <c:v>4.9433157102879948</c:v>
                </c:pt>
                <c:pt idx="3">
                  <c:v>5.9008936914049102</c:v>
                </c:pt>
                <c:pt idx="4">
                  <c:v>6.830969617368412</c:v>
                </c:pt>
                <c:pt idx="5">
                  <c:v>7.6585843365057666</c:v>
                </c:pt>
                <c:pt idx="6">
                  <c:v>8.4377439696617138</c:v>
                </c:pt>
                <c:pt idx="7">
                  <c:v>8.826355202923601</c:v>
                </c:pt>
                <c:pt idx="8">
                  <c:v>9.1230478619459578</c:v>
                </c:pt>
                <c:pt idx="9">
                  <c:v>9.5551388856902761</c:v>
                </c:pt>
                <c:pt idx="10">
                  <c:v>9.6959137296529008</c:v>
                </c:pt>
                <c:pt idx="11">
                  <c:v>9.8296376021718164</c:v>
                </c:pt>
                <c:pt idx="12">
                  <c:v>9.8601741150697073</c:v>
                </c:pt>
                <c:pt idx="13">
                  <c:v>9.7245978938522644</c:v>
                </c:pt>
                <c:pt idx="14">
                  <c:v>9.7347196606149264</c:v>
                </c:pt>
                <c:pt idx="15">
                  <c:v>9.8980963000664612</c:v>
                </c:pt>
                <c:pt idx="16">
                  <c:v>11.179607393084817</c:v>
                </c:pt>
                <c:pt idx="17">
                  <c:v>14.096206016758103</c:v>
                </c:pt>
                <c:pt idx="18">
                  <c:v>15.949738077060147</c:v>
                </c:pt>
                <c:pt idx="19">
                  <c:v>17.475988828522727</c:v>
                </c:pt>
                <c:pt idx="20">
                  <c:v>20.812073201468362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6E13-4A97-B718-1F423C714780}"/>
            </c:ext>
          </c:extLst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Intermediate Byssinosis+ PR</c:v>
                </c:pt>
              </c:strCache>
            </c:strRef>
          </c:tx>
          <c:spPr>
            <a:ln w="28575" cap="rnd">
              <a:solidFill>
                <a:schemeClr val="tx1"/>
              </a:solidFill>
              <a:prstDash val="dash"/>
              <a:round/>
            </a:ln>
            <a:effectLst/>
          </c:spPr>
          <c:marker>
            <c:symbol val="none"/>
          </c:marker>
          <c:cat>
            <c:numRef>
              <c:f>Sheet1!$A$2:$A$22</c:f>
              <c:numCache>
                <c:formatCode>General</c:formatCode>
                <c:ptCount val="21"/>
                <c:pt idx="0">
                  <c:v>1999</c:v>
                </c:pt>
                <c:pt idx="1">
                  <c:v>2000</c:v>
                </c:pt>
                <c:pt idx="2">
                  <c:v>2001</c:v>
                </c:pt>
                <c:pt idx="3">
                  <c:v>2002</c:v>
                </c:pt>
                <c:pt idx="4">
                  <c:v>2003</c:v>
                </c:pt>
                <c:pt idx="5">
                  <c:v>2004</c:v>
                </c:pt>
                <c:pt idx="6">
                  <c:v>2005</c:v>
                </c:pt>
                <c:pt idx="7">
                  <c:v>2006</c:v>
                </c:pt>
                <c:pt idx="8">
                  <c:v>2007</c:v>
                </c:pt>
                <c:pt idx="9">
                  <c:v>2008</c:v>
                </c:pt>
                <c:pt idx="10">
                  <c:v>2009</c:v>
                </c:pt>
                <c:pt idx="11">
                  <c:v>2010</c:v>
                </c:pt>
                <c:pt idx="12">
                  <c:v>2011</c:v>
                </c:pt>
                <c:pt idx="13">
                  <c:v>2012</c:v>
                </c:pt>
                <c:pt idx="14">
                  <c:v>2013</c:v>
                </c:pt>
                <c:pt idx="15">
                  <c:v>2014</c:v>
                </c:pt>
                <c:pt idx="16">
                  <c:v>2015</c:v>
                </c:pt>
                <c:pt idx="17">
                  <c:v>2016</c:v>
                </c:pt>
                <c:pt idx="18">
                  <c:v>2017</c:v>
                </c:pt>
                <c:pt idx="19">
                  <c:v>2018</c:v>
                </c:pt>
                <c:pt idx="20">
                  <c:v>2019</c:v>
                </c:pt>
              </c:numCache>
            </c:numRef>
          </c:cat>
          <c:val>
            <c:numRef>
              <c:f>Sheet1!$F$2:$F$22</c:f>
              <c:numCache>
                <c:formatCode>0.0</c:formatCode>
                <c:ptCount val="21"/>
                <c:pt idx="0">
                  <c:v>0.74109270233936531</c:v>
                </c:pt>
                <c:pt idx="1">
                  <c:v>1.1669146306531453</c:v>
                </c:pt>
                <c:pt idx="2">
                  <c:v>1.4574043161013217</c:v>
                </c:pt>
                <c:pt idx="3">
                  <c:v>1.6945846982981907</c:v>
                </c:pt>
                <c:pt idx="4">
                  <c:v>1.9310682345171812</c:v>
                </c:pt>
                <c:pt idx="5">
                  <c:v>2.2348478482908258</c:v>
                </c:pt>
                <c:pt idx="6">
                  <c:v>2.6530298403398471</c:v>
                </c:pt>
                <c:pt idx="7">
                  <c:v>2.7572994182308022</c:v>
                </c:pt>
                <c:pt idx="8">
                  <c:v>2.8237280026790996</c:v>
                </c:pt>
                <c:pt idx="9">
                  <c:v>3.0016304943401027</c:v>
                </c:pt>
                <c:pt idx="10">
                  <c:v>3.0798419531910595</c:v>
                </c:pt>
                <c:pt idx="11">
                  <c:v>3.1303992488513486</c:v>
                </c:pt>
                <c:pt idx="12">
                  <c:v>3.1722466676347087</c:v>
                </c:pt>
                <c:pt idx="13">
                  <c:v>3.0802028966395345</c:v>
                </c:pt>
                <c:pt idx="14">
                  <c:v>3.0930806505745898</c:v>
                </c:pt>
                <c:pt idx="15">
                  <c:v>3.3103400386675257</c:v>
                </c:pt>
                <c:pt idx="16">
                  <c:v>3.9106236808921526</c:v>
                </c:pt>
                <c:pt idx="17">
                  <c:v>5.2242000977659107</c:v>
                </c:pt>
                <c:pt idx="18">
                  <c:v>6.1572856719163154</c:v>
                </c:pt>
                <c:pt idx="19">
                  <c:v>6.8767791797437594</c:v>
                </c:pt>
                <c:pt idx="20">
                  <c:v>7.8566331490593901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6E13-4A97-B718-1F423C714780}"/>
            </c:ext>
          </c:extLst>
        </c:ser>
        <c:ser>
          <c:idx val="5"/>
          <c:order val="5"/>
          <c:tx>
            <c:strRef>
              <c:f>Sheet1!$G$1</c:f>
              <c:strCache>
                <c:ptCount val="1"/>
                <c:pt idx="0">
                  <c:v>Narrow Byssinosis+ PR</c:v>
                </c:pt>
              </c:strCache>
            </c:strRef>
          </c:tx>
          <c:spPr>
            <a:ln w="28575" cap="rnd">
              <a:solidFill>
                <a:schemeClr val="tx1"/>
              </a:solidFill>
              <a:prstDash val="sysDot"/>
              <a:round/>
            </a:ln>
            <a:effectLst/>
          </c:spPr>
          <c:marker>
            <c:symbol val="none"/>
          </c:marker>
          <c:cat>
            <c:numRef>
              <c:f>Sheet1!$A$2:$A$22</c:f>
              <c:numCache>
                <c:formatCode>General</c:formatCode>
                <c:ptCount val="21"/>
                <c:pt idx="0">
                  <c:v>1999</c:v>
                </c:pt>
                <c:pt idx="1">
                  <c:v>2000</c:v>
                </c:pt>
                <c:pt idx="2">
                  <c:v>2001</c:v>
                </c:pt>
                <c:pt idx="3">
                  <c:v>2002</c:v>
                </c:pt>
                <c:pt idx="4">
                  <c:v>2003</c:v>
                </c:pt>
                <c:pt idx="5">
                  <c:v>2004</c:v>
                </c:pt>
                <c:pt idx="6">
                  <c:v>2005</c:v>
                </c:pt>
                <c:pt idx="7">
                  <c:v>2006</c:v>
                </c:pt>
                <c:pt idx="8">
                  <c:v>2007</c:v>
                </c:pt>
                <c:pt idx="9">
                  <c:v>2008</c:v>
                </c:pt>
                <c:pt idx="10">
                  <c:v>2009</c:v>
                </c:pt>
                <c:pt idx="11">
                  <c:v>2010</c:v>
                </c:pt>
                <c:pt idx="12">
                  <c:v>2011</c:v>
                </c:pt>
                <c:pt idx="13">
                  <c:v>2012</c:v>
                </c:pt>
                <c:pt idx="14">
                  <c:v>2013</c:v>
                </c:pt>
                <c:pt idx="15">
                  <c:v>2014</c:v>
                </c:pt>
                <c:pt idx="16">
                  <c:v>2015</c:v>
                </c:pt>
                <c:pt idx="17">
                  <c:v>2016</c:v>
                </c:pt>
                <c:pt idx="18">
                  <c:v>2017</c:v>
                </c:pt>
                <c:pt idx="19">
                  <c:v>2018</c:v>
                </c:pt>
                <c:pt idx="20">
                  <c:v>2019</c:v>
                </c:pt>
              </c:numCache>
            </c:numRef>
          </c:cat>
          <c:val>
            <c:numRef>
              <c:f>Sheet1!$G$2:$G$22</c:f>
              <c:numCache>
                <c:formatCode>0.0</c:formatCode>
                <c:ptCount val="21"/>
                <c:pt idx="0">
                  <c:v>0.47338520634012321</c:v>
                </c:pt>
                <c:pt idx="1">
                  <c:v>0.78009210115486516</c:v>
                </c:pt>
                <c:pt idx="2">
                  <c:v>0.95183793664004956</c:v>
                </c:pt>
                <c:pt idx="3">
                  <c:v>1.0432852413010212</c:v>
                </c:pt>
                <c:pt idx="4">
                  <c:v>1.1704337238218643</c:v>
                </c:pt>
                <c:pt idx="5">
                  <c:v>1.359581066975881</c:v>
                </c:pt>
                <c:pt idx="6">
                  <c:v>1.5818945802686437</c:v>
                </c:pt>
                <c:pt idx="7">
                  <c:v>1.6064266175779458</c:v>
                </c:pt>
                <c:pt idx="8">
                  <c:v>1.6113830781200038</c:v>
                </c:pt>
                <c:pt idx="9">
                  <c:v>1.7372979792164136</c:v>
                </c:pt>
                <c:pt idx="10">
                  <c:v>1.747934495611458</c:v>
                </c:pt>
                <c:pt idx="11">
                  <c:v>1.7936175911636032</c:v>
                </c:pt>
                <c:pt idx="12">
                  <c:v>1.804535378834939</c:v>
                </c:pt>
                <c:pt idx="13">
                  <c:v>1.6909746260892109</c:v>
                </c:pt>
                <c:pt idx="14">
                  <c:v>1.6819928465588478</c:v>
                </c:pt>
                <c:pt idx="15">
                  <c:v>1.7659137638461482</c:v>
                </c:pt>
                <c:pt idx="16">
                  <c:v>2.018001227697019</c:v>
                </c:pt>
                <c:pt idx="17">
                  <c:v>2.5163377797473703</c:v>
                </c:pt>
                <c:pt idx="18">
                  <c:v>2.9720744300980675</c:v>
                </c:pt>
                <c:pt idx="19">
                  <c:v>3.3247732382065478</c:v>
                </c:pt>
                <c:pt idx="20">
                  <c:v>4.1110640968357677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6E13-4A97-B718-1F423C71478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548656000"/>
        <c:axId val="1548650176"/>
      </c:lineChart>
      <c:catAx>
        <c:axId val="28452864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900" baseline="0"/>
                  <a:t>Year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540000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8451200"/>
        <c:crosses val="autoZero"/>
        <c:auto val="1"/>
        <c:lblAlgn val="ctr"/>
        <c:lblOffset val="100"/>
        <c:noMultiLvlLbl val="0"/>
      </c:catAx>
      <c:valAx>
        <c:axId val="28451200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900"/>
                  <a:t>Number of </a:t>
                </a:r>
                <a:r>
                  <a:rPr lang="en-US" sz="1000" b="0" i="0" u="none" strike="noStrike" baseline="0">
                    <a:effectLst/>
                  </a:rPr>
                  <a:t>Byssinosis+ </a:t>
                </a:r>
                <a:r>
                  <a:rPr lang="en-US" sz="900"/>
                  <a:t>Cases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8452864"/>
        <c:crosses val="autoZero"/>
        <c:crossBetween val="between"/>
      </c:valAx>
      <c:valAx>
        <c:axId val="1548650176"/>
        <c:scaling>
          <c:orientation val="minMax"/>
        </c:scaling>
        <c:delete val="0"/>
        <c:axPos val="r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900" baseline="0"/>
                  <a:t>Cases per 100,000 Beneficiaries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0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548656000"/>
        <c:crosses val="max"/>
        <c:crossBetween val="between"/>
      </c:valAx>
      <c:catAx>
        <c:axId val="1548656000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548650176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"/>
          <c:y val="0.87512166940481928"/>
          <c:w val="0.99255314714306397"/>
          <c:h val="0.1248783305951806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0394471842606043"/>
          <c:y val="4.1509433962264149E-2"/>
          <c:w val="0.83347366538054657"/>
          <c:h val="0.6327975040855742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Broad Byssinosis+ Incidence</c:v>
                </c:pt>
              </c:strCache>
            </c:strRef>
          </c:tx>
          <c:spPr>
            <a:solidFill>
              <a:schemeClr val="tx1"/>
            </a:solidFill>
            <a:ln>
              <a:solidFill>
                <a:schemeClr val="tx1"/>
              </a:solidFill>
            </a:ln>
            <a:effectLst/>
          </c:spPr>
          <c:invertIfNegative val="0"/>
          <c:cat>
            <c:numRef>
              <c:f>Sheet1!$A$2:$A$19</c:f>
              <c:numCache>
                <c:formatCode>General</c:formatCode>
                <c:ptCount val="18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</c:numCache>
            </c:numRef>
          </c:cat>
          <c:val>
            <c:numRef>
              <c:f>Sheet1!$B$2:$B$19</c:f>
              <c:numCache>
                <c:formatCode>General</c:formatCode>
                <c:ptCount val="18"/>
                <c:pt idx="0">
                  <c:v>456</c:v>
                </c:pt>
                <c:pt idx="1">
                  <c:v>454</c:v>
                </c:pt>
                <c:pt idx="2">
                  <c:v>465</c:v>
                </c:pt>
                <c:pt idx="3">
                  <c:v>450</c:v>
                </c:pt>
                <c:pt idx="4">
                  <c:v>363</c:v>
                </c:pt>
                <c:pt idx="5">
                  <c:v>336</c:v>
                </c:pt>
                <c:pt idx="6">
                  <c:v>365</c:v>
                </c:pt>
                <c:pt idx="7">
                  <c:v>311</c:v>
                </c:pt>
                <c:pt idx="8">
                  <c:v>326</c:v>
                </c:pt>
                <c:pt idx="9">
                  <c:v>298</c:v>
                </c:pt>
                <c:pt idx="10">
                  <c:v>270</c:v>
                </c:pt>
                <c:pt idx="11">
                  <c:v>310</c:v>
                </c:pt>
                <c:pt idx="12">
                  <c:v>354</c:v>
                </c:pt>
                <c:pt idx="13">
                  <c:v>650</c:v>
                </c:pt>
                <c:pt idx="14">
                  <c:v>1086</c:v>
                </c:pt>
                <c:pt idx="15">
                  <c:v>916</c:v>
                </c:pt>
                <c:pt idx="16">
                  <c:v>886</c:v>
                </c:pt>
                <c:pt idx="17">
                  <c:v>1356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B9C-4A1A-88BF-825EFCE46165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Intermediate Byssinosis+ Incidence</c:v>
                </c:pt>
              </c:strCache>
            </c:strRef>
          </c:tx>
          <c:spPr>
            <a:solidFill>
              <a:schemeClr val="tx1">
                <a:lumMod val="50000"/>
                <a:lumOff val="50000"/>
              </a:schemeClr>
            </a:solidFill>
            <a:ln>
              <a:solidFill>
                <a:schemeClr val="tx1">
                  <a:lumMod val="50000"/>
                  <a:lumOff val="50000"/>
                </a:schemeClr>
              </a:solidFill>
            </a:ln>
            <a:effectLst/>
          </c:spPr>
          <c:invertIfNegative val="0"/>
          <c:cat>
            <c:numRef>
              <c:f>Sheet1!$A$2:$A$19</c:f>
              <c:numCache>
                <c:formatCode>General</c:formatCode>
                <c:ptCount val="18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</c:numCache>
            </c:numRef>
          </c:cat>
          <c:val>
            <c:numRef>
              <c:f>Sheet1!$C$2:$C$19</c:f>
              <c:numCache>
                <c:formatCode>General</c:formatCode>
                <c:ptCount val="18"/>
                <c:pt idx="0">
                  <c:v>143</c:v>
                </c:pt>
                <c:pt idx="1">
                  <c:v>135</c:v>
                </c:pt>
                <c:pt idx="2">
                  <c:v>162</c:v>
                </c:pt>
                <c:pt idx="3">
                  <c:v>183</c:v>
                </c:pt>
                <c:pt idx="4">
                  <c:v>121</c:v>
                </c:pt>
                <c:pt idx="5">
                  <c:v>121</c:v>
                </c:pt>
                <c:pt idx="6">
                  <c:v>134</c:v>
                </c:pt>
                <c:pt idx="7">
                  <c:v>106</c:v>
                </c:pt>
                <c:pt idx="8">
                  <c:v>102</c:v>
                </c:pt>
                <c:pt idx="9">
                  <c:v>101</c:v>
                </c:pt>
                <c:pt idx="10">
                  <c:v>93</c:v>
                </c:pt>
                <c:pt idx="11">
                  <c:v>100</c:v>
                </c:pt>
                <c:pt idx="12">
                  <c:v>151</c:v>
                </c:pt>
                <c:pt idx="13">
                  <c:v>255</c:v>
                </c:pt>
                <c:pt idx="14">
                  <c:v>462</c:v>
                </c:pt>
                <c:pt idx="15">
                  <c:v>379</c:v>
                </c:pt>
                <c:pt idx="16">
                  <c:v>363</c:v>
                </c:pt>
                <c:pt idx="17">
                  <c:v>442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B9C-4A1A-88BF-825EFCE46165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Narrow Byssinosis+ Incidence</c:v>
                </c:pt>
              </c:strCache>
            </c:strRef>
          </c:tx>
          <c:spPr>
            <a:solidFill>
              <a:schemeClr val="bg1"/>
            </a:solidFill>
            <a:ln>
              <a:solidFill>
                <a:schemeClr val="tx1"/>
              </a:solidFill>
            </a:ln>
            <a:effectLst/>
          </c:spPr>
          <c:invertIfNegative val="0"/>
          <c:cat>
            <c:numRef>
              <c:f>Sheet1!$A$2:$A$19</c:f>
              <c:numCache>
                <c:formatCode>General</c:formatCode>
                <c:ptCount val="18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</c:numCache>
            </c:numRef>
          </c:cat>
          <c:val>
            <c:numRef>
              <c:f>Sheet1!$D$2:$D$19</c:f>
              <c:numCache>
                <c:formatCode>General</c:formatCode>
                <c:ptCount val="18"/>
                <c:pt idx="0">
                  <c:v>92</c:v>
                </c:pt>
                <c:pt idx="1">
                  <c:v>93</c:v>
                </c:pt>
                <c:pt idx="2">
                  <c:v>116</c:v>
                </c:pt>
                <c:pt idx="3">
                  <c:v>122</c:v>
                </c:pt>
                <c:pt idx="4">
                  <c:v>85</c:v>
                </c:pt>
                <c:pt idx="5">
                  <c:v>83</c:v>
                </c:pt>
                <c:pt idx="6">
                  <c:v>95</c:v>
                </c:pt>
                <c:pt idx="7">
                  <c:v>67</c:v>
                </c:pt>
                <c:pt idx="8">
                  <c:v>78</c:v>
                </c:pt>
                <c:pt idx="9">
                  <c:v>77</c:v>
                </c:pt>
                <c:pt idx="10">
                  <c:v>59</c:v>
                </c:pt>
                <c:pt idx="11">
                  <c:v>67</c:v>
                </c:pt>
                <c:pt idx="12">
                  <c:v>96</c:v>
                </c:pt>
                <c:pt idx="13">
                  <c:v>140</c:v>
                </c:pt>
                <c:pt idx="14">
                  <c:v>253</c:v>
                </c:pt>
                <c:pt idx="15">
                  <c:v>225</c:v>
                </c:pt>
                <c:pt idx="16">
                  <c:v>204</c:v>
                </c:pt>
                <c:pt idx="17">
                  <c:v>261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B9C-4A1A-88BF-825EFCE4616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29279072"/>
        <c:axId val="28452032"/>
      </c:barChart>
      <c:lineChart>
        <c:grouping val="standard"/>
        <c:varyColors val="0"/>
        <c:ser>
          <c:idx val="3"/>
          <c:order val="3"/>
          <c:tx>
            <c:strRef>
              <c:f>Sheet1!$E$1</c:f>
              <c:strCache>
                <c:ptCount val="1"/>
                <c:pt idx="0">
                  <c:v>Broad Byssinosis+ IR</c:v>
                </c:pt>
              </c:strCache>
            </c:strRef>
          </c:tx>
          <c:spPr>
            <a:ln w="28575" cap="rnd">
              <a:solidFill>
                <a:schemeClr val="tx1"/>
              </a:solidFill>
              <a:prstDash val="lgDash"/>
              <a:round/>
            </a:ln>
            <a:effectLst/>
          </c:spPr>
          <c:marker>
            <c:symbol val="none"/>
          </c:marker>
          <c:cat>
            <c:numRef>
              <c:f>Sheet1!$A$2:$A$19</c:f>
              <c:numCache>
                <c:formatCode>General</c:formatCode>
                <c:ptCount val="18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</c:numCache>
            </c:numRef>
          </c:cat>
          <c:val>
            <c:numRef>
              <c:f>Sheet1!$E$2:$E$19</c:f>
              <c:numCache>
                <c:formatCode>0.0</c:formatCode>
                <c:ptCount val="18"/>
                <c:pt idx="0">
                  <c:v>1.8730222363885503</c:v>
                </c:pt>
                <c:pt idx="1">
                  <c:v>1.83659535997532</c:v>
                </c:pt>
                <c:pt idx="2">
                  <c:v>1.8194161043757935</c:v>
                </c:pt>
                <c:pt idx="3">
                  <c:v>1.7056119788843722</c:v>
                </c:pt>
                <c:pt idx="4">
                  <c:v>1.3664136944314276</c:v>
                </c:pt>
                <c:pt idx="5">
                  <c:v>1.2953366876899297</c:v>
                </c:pt>
                <c:pt idx="6">
                  <c:v>1.4367938822339963</c:v>
                </c:pt>
                <c:pt idx="7">
                  <c:v>1.2471516019842783</c:v>
                </c:pt>
                <c:pt idx="8">
                  <c:v>1.3155628502484316</c:v>
                </c:pt>
                <c:pt idx="9">
                  <c:v>1.2039688955847876</c:v>
                </c:pt>
                <c:pt idx="10">
                  <c:v>1.0826928302998085</c:v>
                </c:pt>
                <c:pt idx="11">
                  <c:v>1.2328193696125296</c:v>
                </c:pt>
                <c:pt idx="12">
                  <c:v>1.4059277089446869</c:v>
                </c:pt>
                <c:pt idx="13">
                  <c:v>2.5937279508184492</c:v>
                </c:pt>
                <c:pt idx="14">
                  <c:v>4.3210459127441574</c:v>
                </c:pt>
                <c:pt idx="15">
                  <c:v>3.6049320350278178</c:v>
                </c:pt>
                <c:pt idx="16">
                  <c:v>3.4832149728236503</c:v>
                </c:pt>
                <c:pt idx="17">
                  <c:v>5.3290466209835845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BB9C-4A1A-88BF-825EFCE46165}"/>
            </c:ext>
          </c:extLst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Intermediate Byssinosis+ IR</c:v>
                </c:pt>
              </c:strCache>
            </c:strRef>
          </c:tx>
          <c:spPr>
            <a:ln w="28575" cap="rnd">
              <a:solidFill>
                <a:schemeClr val="tx1"/>
              </a:solidFill>
              <a:prstDash val="dash"/>
              <a:round/>
            </a:ln>
            <a:effectLst/>
          </c:spPr>
          <c:marker>
            <c:symbol val="none"/>
          </c:marker>
          <c:cat>
            <c:numRef>
              <c:f>Sheet1!$A$2:$A$19</c:f>
              <c:numCache>
                <c:formatCode>General</c:formatCode>
                <c:ptCount val="18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</c:numCache>
            </c:numRef>
          </c:cat>
          <c:val>
            <c:numRef>
              <c:f>Sheet1!$F$2:$F$19</c:f>
              <c:numCache>
                <c:formatCode>0.0</c:formatCode>
                <c:ptCount val="18"/>
                <c:pt idx="0">
                  <c:v>0.58737320132360238</c:v>
                </c:pt>
                <c:pt idx="1">
                  <c:v>0.54612417091777143</c:v>
                </c:pt>
                <c:pt idx="2">
                  <c:v>0.63386109442769578</c:v>
                </c:pt>
                <c:pt idx="3">
                  <c:v>0.6936155380796446</c:v>
                </c:pt>
                <c:pt idx="4">
                  <c:v>0.45547123147714252</c:v>
                </c:pt>
                <c:pt idx="5">
                  <c:v>0.46647541431690925</c:v>
                </c:pt>
                <c:pt idx="6">
                  <c:v>0.52748049375165895</c:v>
                </c:pt>
                <c:pt idx="7">
                  <c:v>0.42507417945444859</c:v>
                </c:pt>
                <c:pt idx="8">
                  <c:v>0.41161782431085892</c:v>
                </c:pt>
                <c:pt idx="9">
                  <c:v>0.40805657199350176</c:v>
                </c:pt>
                <c:pt idx="10">
                  <c:v>0.37292753043660071</c:v>
                </c:pt>
                <c:pt idx="11">
                  <c:v>0.39768366761694507</c:v>
                </c:pt>
                <c:pt idx="12">
                  <c:v>0.59970362726171667</c:v>
                </c:pt>
                <c:pt idx="13">
                  <c:v>1.0175394268595452</c:v>
                </c:pt>
                <c:pt idx="14">
                  <c:v>1.838235001554144</c:v>
                </c:pt>
                <c:pt idx="15">
                  <c:v>1.4915603070693702</c:v>
                </c:pt>
                <c:pt idx="16">
                  <c:v>1.4270959764503215</c:v>
                </c:pt>
                <c:pt idx="17">
                  <c:v>1.7370491198191331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BB9C-4A1A-88BF-825EFCE46165}"/>
            </c:ext>
          </c:extLst>
        </c:ser>
        <c:ser>
          <c:idx val="5"/>
          <c:order val="5"/>
          <c:tx>
            <c:strRef>
              <c:f>Sheet1!$G$1</c:f>
              <c:strCache>
                <c:ptCount val="1"/>
                <c:pt idx="0">
                  <c:v>Narrow Byssinosis+ IR</c:v>
                </c:pt>
              </c:strCache>
            </c:strRef>
          </c:tx>
          <c:spPr>
            <a:ln w="28575" cap="rnd">
              <a:solidFill>
                <a:schemeClr val="tx1"/>
              </a:solidFill>
              <a:prstDash val="sysDot"/>
              <a:round/>
            </a:ln>
            <a:effectLst/>
          </c:spPr>
          <c:marker>
            <c:symbol val="none"/>
          </c:marker>
          <c:cat>
            <c:numRef>
              <c:f>Sheet1!$A$2:$A$19</c:f>
              <c:numCache>
                <c:formatCode>General</c:formatCode>
                <c:ptCount val="18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</c:numCache>
            </c:numRef>
          </c:cat>
          <c:val>
            <c:numRef>
              <c:f>Sheet1!$G$2:$G$19</c:f>
              <c:numCache>
                <c:formatCode>0.0</c:formatCode>
                <c:ptCount val="18"/>
                <c:pt idx="0">
                  <c:v>0.37789045120119874</c:v>
                </c:pt>
                <c:pt idx="1">
                  <c:v>0.37621887329890918</c:v>
                </c:pt>
                <c:pt idx="2">
                  <c:v>0.45387584539267106</c:v>
                </c:pt>
                <c:pt idx="3">
                  <c:v>0.46241035871976316</c:v>
                </c:pt>
                <c:pt idx="4">
                  <c:v>0.31995912955005879</c:v>
                </c:pt>
                <c:pt idx="5">
                  <c:v>0.31997900320911954</c:v>
                </c:pt>
                <c:pt idx="6">
                  <c:v>0.37396005154035522</c:v>
                </c:pt>
                <c:pt idx="7">
                  <c:v>0.268678962485359</c:v>
                </c:pt>
                <c:pt idx="8">
                  <c:v>0.31476657153183329</c:v>
                </c:pt>
                <c:pt idx="9">
                  <c:v>0.3110926340940558</c:v>
                </c:pt>
                <c:pt idx="10">
                  <c:v>0.23658843328773593</c:v>
                </c:pt>
                <c:pt idx="11">
                  <c:v>0.26644805730335319</c:v>
                </c:pt>
                <c:pt idx="12">
                  <c:v>0.3812685312392371</c:v>
                </c:pt>
                <c:pt idx="13">
                  <c:v>0.55864909709935817</c:v>
                </c:pt>
                <c:pt idx="14">
                  <c:v>1.0066525008510789</c:v>
                </c:pt>
                <c:pt idx="15">
                  <c:v>0.88549094746862334</c:v>
                </c:pt>
                <c:pt idx="16">
                  <c:v>0.8020043504018336</c:v>
                </c:pt>
                <c:pt idx="17">
                  <c:v>1.025723575277814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BB9C-4A1A-88BF-825EFCE4616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069967248"/>
        <c:axId val="1069969744"/>
      </c:lineChart>
      <c:catAx>
        <c:axId val="29279072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900"/>
                  <a:t>Year</a:t>
                </a:r>
              </a:p>
            </c:rich>
          </c:tx>
          <c:layout>
            <c:manualLayout>
              <c:xMode val="edge"/>
              <c:yMode val="edge"/>
              <c:x val="0.48880264241824745"/>
              <c:y val="0.76285257575885723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5400000" spcFirstLastPara="1" vertOverflow="ellipsis" wrap="square" anchor="t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8452032"/>
        <c:crosses val="autoZero"/>
        <c:auto val="1"/>
        <c:lblAlgn val="ctr"/>
        <c:lblOffset val="100"/>
        <c:noMultiLvlLbl val="0"/>
      </c:catAx>
      <c:valAx>
        <c:axId val="28452032"/>
        <c:scaling>
          <c:orientation val="minMax"/>
          <c:max val="1400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900"/>
                  <a:t>Number of Byssinosis+ C</a:t>
                </a:r>
                <a:r>
                  <a:rPr lang="en-US" sz="900" baseline="0"/>
                  <a:t>ases</a:t>
                </a:r>
                <a:endParaRPr lang="en-US" sz="900"/>
              </a:p>
            </c:rich>
          </c:tx>
          <c:layout>
            <c:manualLayout>
              <c:xMode val="edge"/>
              <c:yMode val="edge"/>
              <c:x val="1.9584802193497845E-2"/>
              <c:y val="0.16061595602436488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9279072"/>
        <c:crosses val="autoZero"/>
        <c:crossBetween val="between"/>
      </c:valAx>
      <c:valAx>
        <c:axId val="1069969744"/>
        <c:scaling>
          <c:orientation val="minMax"/>
          <c:max val="20"/>
          <c:min val="0"/>
        </c:scaling>
        <c:delete val="0"/>
        <c:axPos val="r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900" baseline="0"/>
                  <a:t>Cases per 100,000 Beneficiaries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0" sourceLinked="0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069967248"/>
        <c:crosses val="max"/>
        <c:crossBetween val="between"/>
        <c:majorUnit val="10"/>
        <c:minorUnit val="5"/>
      </c:valAx>
      <c:catAx>
        <c:axId val="1069967248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069969744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7.2124503825975938E-3"/>
          <c:y val="0.82724584239000198"/>
          <c:w val="0.9835327282092089"/>
          <c:h val="0.1154680852863316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1397213714913133"/>
          <c:y val="3.8128249566724434E-2"/>
          <c:w val="0.80276469554114194"/>
          <c:h val="0.7315995032683306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Broad Other/Unspecified Prevalence</c:v>
                </c:pt>
              </c:strCache>
            </c:strRef>
          </c:tx>
          <c:spPr>
            <a:solidFill>
              <a:schemeClr val="tx1"/>
            </a:solidFill>
            <a:ln>
              <a:solidFill>
                <a:schemeClr val="tx1"/>
              </a:solidFill>
            </a:ln>
            <a:effectLst/>
          </c:spPr>
          <c:invertIfNegative val="0"/>
          <c:cat>
            <c:numRef>
              <c:f>Sheet1!$A$2:$A$22</c:f>
              <c:numCache>
                <c:formatCode>General</c:formatCode>
                <c:ptCount val="21"/>
                <c:pt idx="0">
                  <c:v>1999</c:v>
                </c:pt>
                <c:pt idx="1">
                  <c:v>2000</c:v>
                </c:pt>
                <c:pt idx="2">
                  <c:v>2001</c:v>
                </c:pt>
                <c:pt idx="3">
                  <c:v>2002</c:v>
                </c:pt>
                <c:pt idx="4">
                  <c:v>2003</c:v>
                </c:pt>
                <c:pt idx="5">
                  <c:v>2004</c:v>
                </c:pt>
                <c:pt idx="6">
                  <c:v>2005</c:v>
                </c:pt>
                <c:pt idx="7">
                  <c:v>2006</c:v>
                </c:pt>
                <c:pt idx="8">
                  <c:v>2007</c:v>
                </c:pt>
                <c:pt idx="9">
                  <c:v>2008</c:v>
                </c:pt>
                <c:pt idx="10">
                  <c:v>2009</c:v>
                </c:pt>
                <c:pt idx="11">
                  <c:v>2010</c:v>
                </c:pt>
                <c:pt idx="12">
                  <c:v>2011</c:v>
                </c:pt>
                <c:pt idx="13">
                  <c:v>2012</c:v>
                </c:pt>
                <c:pt idx="14">
                  <c:v>2013</c:v>
                </c:pt>
                <c:pt idx="15">
                  <c:v>2014</c:v>
                </c:pt>
                <c:pt idx="16">
                  <c:v>2015</c:v>
                </c:pt>
                <c:pt idx="17">
                  <c:v>2016</c:v>
                </c:pt>
                <c:pt idx="18">
                  <c:v>2017</c:v>
                </c:pt>
                <c:pt idx="19">
                  <c:v>2018</c:v>
                </c:pt>
                <c:pt idx="20">
                  <c:v>2019</c:v>
                </c:pt>
              </c:numCache>
            </c:numRef>
          </c:cat>
          <c:val>
            <c:numRef>
              <c:f>Sheet1!$B$2:$B$22</c:f>
              <c:numCache>
                <c:formatCode>General</c:formatCode>
                <c:ptCount val="21"/>
                <c:pt idx="0">
                  <c:v>5996</c:v>
                </c:pt>
                <c:pt idx="1">
                  <c:v>11294</c:v>
                </c:pt>
                <c:pt idx="2">
                  <c:v>16479</c:v>
                </c:pt>
                <c:pt idx="3">
                  <c:v>20482</c:v>
                </c:pt>
                <c:pt idx="4">
                  <c:v>23659</c:v>
                </c:pt>
                <c:pt idx="5">
                  <c:v>25431</c:v>
                </c:pt>
                <c:pt idx="6">
                  <c:v>26668</c:v>
                </c:pt>
                <c:pt idx="7">
                  <c:v>26806</c:v>
                </c:pt>
                <c:pt idx="8">
                  <c:v>26759</c:v>
                </c:pt>
                <c:pt idx="9">
                  <c:v>26657</c:v>
                </c:pt>
                <c:pt idx="10">
                  <c:v>26475</c:v>
                </c:pt>
                <c:pt idx="11">
                  <c:v>26522</c:v>
                </c:pt>
                <c:pt idx="12">
                  <c:v>26927</c:v>
                </c:pt>
                <c:pt idx="13">
                  <c:v>26881</c:v>
                </c:pt>
                <c:pt idx="14">
                  <c:v>26300</c:v>
                </c:pt>
                <c:pt idx="15">
                  <c:v>24986</c:v>
                </c:pt>
                <c:pt idx="16">
                  <c:v>24909</c:v>
                </c:pt>
                <c:pt idx="17">
                  <c:v>24623</c:v>
                </c:pt>
                <c:pt idx="18">
                  <c:v>23396</c:v>
                </c:pt>
                <c:pt idx="19">
                  <c:v>22595</c:v>
                </c:pt>
                <c:pt idx="20">
                  <c:v>21710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78C-40E9-8709-6A14251A5904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Intermediate Other/Unspecified Prevalence</c:v>
                </c:pt>
              </c:strCache>
            </c:strRef>
          </c:tx>
          <c:spPr>
            <a:solidFill>
              <a:schemeClr val="tx1">
                <a:lumMod val="50000"/>
                <a:lumOff val="50000"/>
              </a:schemeClr>
            </a:solidFill>
            <a:ln>
              <a:solidFill>
                <a:schemeClr val="tx1">
                  <a:lumMod val="50000"/>
                  <a:lumOff val="50000"/>
                </a:schemeClr>
              </a:solidFill>
            </a:ln>
            <a:effectLst/>
          </c:spPr>
          <c:invertIfNegative val="0"/>
          <c:cat>
            <c:numRef>
              <c:f>Sheet1!$A$2:$A$22</c:f>
              <c:numCache>
                <c:formatCode>General</c:formatCode>
                <c:ptCount val="21"/>
                <c:pt idx="0">
                  <c:v>1999</c:v>
                </c:pt>
                <c:pt idx="1">
                  <c:v>2000</c:v>
                </c:pt>
                <c:pt idx="2">
                  <c:v>2001</c:v>
                </c:pt>
                <c:pt idx="3">
                  <c:v>2002</c:v>
                </c:pt>
                <c:pt idx="4">
                  <c:v>2003</c:v>
                </c:pt>
                <c:pt idx="5">
                  <c:v>2004</c:v>
                </c:pt>
                <c:pt idx="6">
                  <c:v>2005</c:v>
                </c:pt>
                <c:pt idx="7">
                  <c:v>2006</c:v>
                </c:pt>
                <c:pt idx="8">
                  <c:v>2007</c:v>
                </c:pt>
                <c:pt idx="9">
                  <c:v>2008</c:v>
                </c:pt>
                <c:pt idx="10">
                  <c:v>2009</c:v>
                </c:pt>
                <c:pt idx="11">
                  <c:v>2010</c:v>
                </c:pt>
                <c:pt idx="12">
                  <c:v>2011</c:v>
                </c:pt>
                <c:pt idx="13">
                  <c:v>2012</c:v>
                </c:pt>
                <c:pt idx="14">
                  <c:v>2013</c:v>
                </c:pt>
                <c:pt idx="15">
                  <c:v>2014</c:v>
                </c:pt>
                <c:pt idx="16">
                  <c:v>2015</c:v>
                </c:pt>
                <c:pt idx="17">
                  <c:v>2016</c:v>
                </c:pt>
                <c:pt idx="18">
                  <c:v>2017</c:v>
                </c:pt>
                <c:pt idx="19">
                  <c:v>2018</c:v>
                </c:pt>
                <c:pt idx="20">
                  <c:v>2019</c:v>
                </c:pt>
              </c:numCache>
            </c:numRef>
          </c:cat>
          <c:val>
            <c:numRef>
              <c:f>Sheet1!$C$2:$C$22</c:f>
              <c:numCache>
                <c:formatCode>General</c:formatCode>
                <c:ptCount val="21"/>
                <c:pt idx="0">
                  <c:v>2459</c:v>
                </c:pt>
                <c:pt idx="1">
                  <c:v>4454</c:v>
                </c:pt>
                <c:pt idx="2">
                  <c:v>6402</c:v>
                </c:pt>
                <c:pt idx="3">
                  <c:v>7806</c:v>
                </c:pt>
                <c:pt idx="4">
                  <c:v>8889</c:v>
                </c:pt>
                <c:pt idx="5">
                  <c:v>9538</c:v>
                </c:pt>
                <c:pt idx="6">
                  <c:v>9921</c:v>
                </c:pt>
                <c:pt idx="7">
                  <c:v>10112</c:v>
                </c:pt>
                <c:pt idx="8">
                  <c:v>10211</c:v>
                </c:pt>
                <c:pt idx="9">
                  <c:v>10236</c:v>
                </c:pt>
                <c:pt idx="10">
                  <c:v>10321</c:v>
                </c:pt>
                <c:pt idx="11">
                  <c:v>10512</c:v>
                </c:pt>
                <c:pt idx="12">
                  <c:v>11007</c:v>
                </c:pt>
                <c:pt idx="13">
                  <c:v>11239</c:v>
                </c:pt>
                <c:pt idx="14">
                  <c:v>11180</c:v>
                </c:pt>
                <c:pt idx="15">
                  <c:v>10685</c:v>
                </c:pt>
                <c:pt idx="16">
                  <c:v>10845</c:v>
                </c:pt>
                <c:pt idx="17">
                  <c:v>10800</c:v>
                </c:pt>
                <c:pt idx="18">
                  <c:v>10297</c:v>
                </c:pt>
                <c:pt idx="19">
                  <c:v>10028</c:v>
                </c:pt>
                <c:pt idx="20">
                  <c:v>9518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78C-40E9-8709-6A14251A5904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Narrow Other/Unspecified Prevalence</c:v>
                </c:pt>
              </c:strCache>
            </c:strRef>
          </c:tx>
          <c:spPr>
            <a:solidFill>
              <a:schemeClr val="bg1"/>
            </a:solidFill>
            <a:ln>
              <a:solidFill>
                <a:schemeClr val="tx1"/>
              </a:solidFill>
            </a:ln>
            <a:effectLst/>
          </c:spPr>
          <c:invertIfNegative val="0"/>
          <c:cat>
            <c:numRef>
              <c:f>Sheet1!$A$2:$A$22</c:f>
              <c:numCache>
                <c:formatCode>General</c:formatCode>
                <c:ptCount val="21"/>
                <c:pt idx="0">
                  <c:v>1999</c:v>
                </c:pt>
                <c:pt idx="1">
                  <c:v>2000</c:v>
                </c:pt>
                <c:pt idx="2">
                  <c:v>2001</c:v>
                </c:pt>
                <c:pt idx="3">
                  <c:v>2002</c:v>
                </c:pt>
                <c:pt idx="4">
                  <c:v>2003</c:v>
                </c:pt>
                <c:pt idx="5">
                  <c:v>2004</c:v>
                </c:pt>
                <c:pt idx="6">
                  <c:v>2005</c:v>
                </c:pt>
                <c:pt idx="7">
                  <c:v>2006</c:v>
                </c:pt>
                <c:pt idx="8">
                  <c:v>2007</c:v>
                </c:pt>
                <c:pt idx="9">
                  <c:v>2008</c:v>
                </c:pt>
                <c:pt idx="10">
                  <c:v>2009</c:v>
                </c:pt>
                <c:pt idx="11">
                  <c:v>2010</c:v>
                </c:pt>
                <c:pt idx="12">
                  <c:v>2011</c:v>
                </c:pt>
                <c:pt idx="13">
                  <c:v>2012</c:v>
                </c:pt>
                <c:pt idx="14">
                  <c:v>2013</c:v>
                </c:pt>
                <c:pt idx="15">
                  <c:v>2014</c:v>
                </c:pt>
                <c:pt idx="16">
                  <c:v>2015</c:v>
                </c:pt>
                <c:pt idx="17">
                  <c:v>2016</c:v>
                </c:pt>
                <c:pt idx="18">
                  <c:v>2017</c:v>
                </c:pt>
                <c:pt idx="19">
                  <c:v>2018</c:v>
                </c:pt>
                <c:pt idx="20">
                  <c:v>2019</c:v>
                </c:pt>
              </c:numCache>
            </c:numRef>
          </c:cat>
          <c:val>
            <c:numRef>
              <c:f>Sheet1!$D$2:$D$22</c:f>
              <c:numCache>
                <c:formatCode>General</c:formatCode>
                <c:ptCount val="21"/>
                <c:pt idx="0">
                  <c:v>1602</c:v>
                </c:pt>
                <c:pt idx="1">
                  <c:v>2915</c:v>
                </c:pt>
                <c:pt idx="2">
                  <c:v>4044</c:v>
                </c:pt>
                <c:pt idx="3">
                  <c:v>4861</c:v>
                </c:pt>
                <c:pt idx="4">
                  <c:v>5430</c:v>
                </c:pt>
                <c:pt idx="5">
                  <c:v>5730</c:v>
                </c:pt>
                <c:pt idx="6">
                  <c:v>6027</c:v>
                </c:pt>
                <c:pt idx="7">
                  <c:v>6101</c:v>
                </c:pt>
                <c:pt idx="8">
                  <c:v>6110</c:v>
                </c:pt>
                <c:pt idx="9">
                  <c:v>6069</c:v>
                </c:pt>
                <c:pt idx="10">
                  <c:v>6076</c:v>
                </c:pt>
                <c:pt idx="11">
                  <c:v>6113</c:v>
                </c:pt>
                <c:pt idx="12">
                  <c:v>6368</c:v>
                </c:pt>
                <c:pt idx="13">
                  <c:v>6414</c:v>
                </c:pt>
                <c:pt idx="14">
                  <c:v>6267</c:v>
                </c:pt>
                <c:pt idx="15">
                  <c:v>5867</c:v>
                </c:pt>
                <c:pt idx="16">
                  <c:v>6047</c:v>
                </c:pt>
                <c:pt idx="17">
                  <c:v>5998</c:v>
                </c:pt>
                <c:pt idx="18">
                  <c:v>5725</c:v>
                </c:pt>
                <c:pt idx="19">
                  <c:v>5673</c:v>
                </c:pt>
                <c:pt idx="20">
                  <c:v>5669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78C-40E9-8709-6A14251A590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8452864"/>
        <c:axId val="28451200"/>
      </c:barChart>
      <c:lineChart>
        <c:grouping val="standard"/>
        <c:varyColors val="0"/>
        <c:ser>
          <c:idx val="3"/>
          <c:order val="3"/>
          <c:tx>
            <c:strRef>
              <c:f>Sheet1!$E$1</c:f>
              <c:strCache>
                <c:ptCount val="1"/>
                <c:pt idx="0">
                  <c:v>Broad Other/Unspecified PR </c:v>
                </c:pt>
              </c:strCache>
            </c:strRef>
          </c:tx>
          <c:spPr>
            <a:ln w="28575" cap="rnd">
              <a:solidFill>
                <a:schemeClr val="tx1"/>
              </a:solidFill>
              <a:prstDash val="lgDash"/>
              <a:round/>
            </a:ln>
            <a:effectLst/>
          </c:spPr>
          <c:marker>
            <c:symbol val="none"/>
          </c:marker>
          <c:cat>
            <c:numRef>
              <c:f>Sheet1!$A$2:$A$22</c:f>
              <c:numCache>
                <c:formatCode>General</c:formatCode>
                <c:ptCount val="21"/>
                <c:pt idx="0">
                  <c:v>1999</c:v>
                </c:pt>
                <c:pt idx="1">
                  <c:v>2000</c:v>
                </c:pt>
                <c:pt idx="2">
                  <c:v>2001</c:v>
                </c:pt>
                <c:pt idx="3">
                  <c:v>2002</c:v>
                </c:pt>
                <c:pt idx="4">
                  <c:v>2003</c:v>
                </c:pt>
                <c:pt idx="5">
                  <c:v>2004</c:v>
                </c:pt>
                <c:pt idx="6">
                  <c:v>2005</c:v>
                </c:pt>
                <c:pt idx="7">
                  <c:v>2006</c:v>
                </c:pt>
                <c:pt idx="8">
                  <c:v>2007</c:v>
                </c:pt>
                <c:pt idx="9">
                  <c:v>2008</c:v>
                </c:pt>
                <c:pt idx="10">
                  <c:v>2009</c:v>
                </c:pt>
                <c:pt idx="11">
                  <c:v>2010</c:v>
                </c:pt>
                <c:pt idx="12">
                  <c:v>2011</c:v>
                </c:pt>
                <c:pt idx="13">
                  <c:v>2012</c:v>
                </c:pt>
                <c:pt idx="14">
                  <c:v>2013</c:v>
                </c:pt>
                <c:pt idx="15">
                  <c:v>2014</c:v>
                </c:pt>
                <c:pt idx="16">
                  <c:v>2015</c:v>
                </c:pt>
                <c:pt idx="17">
                  <c:v>2016</c:v>
                </c:pt>
                <c:pt idx="18">
                  <c:v>2017</c:v>
                </c:pt>
                <c:pt idx="19">
                  <c:v>2018</c:v>
                </c:pt>
                <c:pt idx="20">
                  <c:v>2019</c:v>
                </c:pt>
              </c:numCache>
            </c:numRef>
          </c:cat>
          <c:val>
            <c:numRef>
              <c:f>Sheet1!$E$2:$E$22</c:f>
              <c:numCache>
                <c:formatCode>0.0</c:formatCode>
                <c:ptCount val="21"/>
                <c:pt idx="0">
                  <c:v>19.575294463554332</c:v>
                </c:pt>
                <c:pt idx="1">
                  <c:v>36.406447067946473</c:v>
                </c:pt>
                <c:pt idx="2">
                  <c:v>51.427335599643861</c:v>
                </c:pt>
                <c:pt idx="3">
                  <c:v>61.75886795470381</c:v>
                </c:pt>
                <c:pt idx="4">
                  <c:v>69.751363909071756</c:v>
                </c:pt>
                <c:pt idx="5">
                  <c:v>74.196365052067861</c:v>
                </c:pt>
                <c:pt idx="6">
                  <c:v>77.833883148716211</c:v>
                </c:pt>
                <c:pt idx="7">
                  <c:v>80.339313266407487</c:v>
                </c:pt>
                <c:pt idx="8">
                  <c:v>81.510396573559902</c:v>
                </c:pt>
                <c:pt idx="9">
                  <c:v>82.404185466142238</c:v>
                </c:pt>
                <c:pt idx="10">
                  <c:v>82.196386805174697</c:v>
                </c:pt>
                <c:pt idx="11">
                  <c:v>81.316796158702715</c:v>
                </c:pt>
                <c:pt idx="12">
                  <c:v>81.119739809496494</c:v>
                </c:pt>
                <c:pt idx="13">
                  <c:v>80.309344388523115</c:v>
                </c:pt>
                <c:pt idx="14">
                  <c:v>78.294534273447255</c:v>
                </c:pt>
                <c:pt idx="15">
                  <c:v>74.784951361796374</c:v>
                </c:pt>
                <c:pt idx="16">
                  <c:v>74.358568906368404</c:v>
                </c:pt>
                <c:pt idx="17">
                  <c:v>72.552441628477169</c:v>
                </c:pt>
                <c:pt idx="18">
                  <c:v>69.257622875074091</c:v>
                </c:pt>
                <c:pt idx="19">
                  <c:v>67.556880681004458</c:v>
                </c:pt>
                <c:pt idx="20">
                  <c:v>65.577664615947469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978C-40E9-8709-6A14251A5904}"/>
            </c:ext>
          </c:extLst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Intermediate Other/Unspecified PR</c:v>
                </c:pt>
              </c:strCache>
            </c:strRef>
          </c:tx>
          <c:spPr>
            <a:ln w="28575" cap="rnd">
              <a:solidFill>
                <a:schemeClr val="tx1"/>
              </a:solidFill>
              <a:prstDash val="dash"/>
              <a:round/>
            </a:ln>
            <a:effectLst/>
          </c:spPr>
          <c:marker>
            <c:symbol val="none"/>
          </c:marker>
          <c:cat>
            <c:numRef>
              <c:f>Sheet1!$A$2:$A$22</c:f>
              <c:numCache>
                <c:formatCode>General</c:formatCode>
                <c:ptCount val="21"/>
                <c:pt idx="0">
                  <c:v>1999</c:v>
                </c:pt>
                <c:pt idx="1">
                  <c:v>2000</c:v>
                </c:pt>
                <c:pt idx="2">
                  <c:v>2001</c:v>
                </c:pt>
                <c:pt idx="3">
                  <c:v>2002</c:v>
                </c:pt>
                <c:pt idx="4">
                  <c:v>2003</c:v>
                </c:pt>
                <c:pt idx="5">
                  <c:v>2004</c:v>
                </c:pt>
                <c:pt idx="6">
                  <c:v>2005</c:v>
                </c:pt>
                <c:pt idx="7">
                  <c:v>2006</c:v>
                </c:pt>
                <c:pt idx="8">
                  <c:v>2007</c:v>
                </c:pt>
                <c:pt idx="9">
                  <c:v>2008</c:v>
                </c:pt>
                <c:pt idx="10">
                  <c:v>2009</c:v>
                </c:pt>
                <c:pt idx="11">
                  <c:v>2010</c:v>
                </c:pt>
                <c:pt idx="12">
                  <c:v>2011</c:v>
                </c:pt>
                <c:pt idx="13">
                  <c:v>2012</c:v>
                </c:pt>
                <c:pt idx="14">
                  <c:v>2013</c:v>
                </c:pt>
                <c:pt idx="15">
                  <c:v>2014</c:v>
                </c:pt>
                <c:pt idx="16">
                  <c:v>2015</c:v>
                </c:pt>
                <c:pt idx="17">
                  <c:v>2016</c:v>
                </c:pt>
                <c:pt idx="18">
                  <c:v>2017</c:v>
                </c:pt>
                <c:pt idx="19">
                  <c:v>2018</c:v>
                </c:pt>
                <c:pt idx="20">
                  <c:v>2019</c:v>
                </c:pt>
              </c:numCache>
            </c:numRef>
          </c:cat>
          <c:val>
            <c:numRef>
              <c:f>Sheet1!$F$2:$F$22</c:f>
              <c:numCache>
                <c:formatCode>0.0</c:formatCode>
                <c:ptCount val="21"/>
                <c:pt idx="0">
                  <c:v>8.0279601544162968</c:v>
                </c:pt>
                <c:pt idx="1">
                  <c:v>14.3575628865445</c:v>
                </c:pt>
                <c:pt idx="2">
                  <c:v>19.979234329080647</c:v>
                </c:pt>
                <c:pt idx="3">
                  <c:v>23.537238709814371</c:v>
                </c:pt>
                <c:pt idx="4">
                  <c:v>26.206512269653778</c:v>
                </c:pt>
                <c:pt idx="5">
                  <c:v>27.827648533939811</c:v>
                </c:pt>
                <c:pt idx="6">
                  <c:v>28.9556755181646</c:v>
                </c:pt>
                <c:pt idx="7">
                  <c:v>30.306317083858559</c:v>
                </c:pt>
                <c:pt idx="8">
                  <c:v>31.103653328323933</c:v>
                </c:pt>
                <c:pt idx="9">
                  <c:v>31.642316931066208</c:v>
                </c:pt>
                <c:pt idx="10">
                  <c:v>32.043395966617865</c:v>
                </c:pt>
                <c:pt idx="11">
                  <c:v>32.2299284073706</c:v>
                </c:pt>
                <c:pt idx="12">
                  <c:v>33.159467303566231</c:v>
                </c:pt>
                <c:pt idx="13">
                  <c:v>33.57749791981739</c:v>
                </c:pt>
                <c:pt idx="14">
                  <c:v>33.282619512438799</c:v>
                </c:pt>
                <c:pt idx="15">
                  <c:v>31.980997570671345</c:v>
                </c:pt>
                <c:pt idx="16">
                  <c:v>32.374590701736942</c:v>
                </c:pt>
                <c:pt idx="17">
                  <c:v>31.822538666594379</c:v>
                </c:pt>
                <c:pt idx="18">
                  <c:v>30.481524309481873</c:v>
                </c:pt>
                <c:pt idx="19">
                  <c:v>29.982757223682793</c:v>
                </c:pt>
                <c:pt idx="20">
                  <c:v>28.750263096019715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978C-40E9-8709-6A14251A5904}"/>
            </c:ext>
          </c:extLst>
        </c:ser>
        <c:ser>
          <c:idx val="5"/>
          <c:order val="5"/>
          <c:tx>
            <c:strRef>
              <c:f>Sheet1!$G$1</c:f>
              <c:strCache>
                <c:ptCount val="1"/>
                <c:pt idx="0">
                  <c:v>Narrow Other/Unspecified PR</c:v>
                </c:pt>
              </c:strCache>
            </c:strRef>
          </c:tx>
          <c:spPr>
            <a:ln w="28575" cap="rnd">
              <a:solidFill>
                <a:schemeClr val="tx1"/>
              </a:solidFill>
              <a:prstDash val="sysDot"/>
              <a:round/>
            </a:ln>
            <a:effectLst/>
          </c:spPr>
          <c:marker>
            <c:symbol val="none"/>
          </c:marker>
          <c:cat>
            <c:numRef>
              <c:f>Sheet1!$A$2:$A$22</c:f>
              <c:numCache>
                <c:formatCode>General</c:formatCode>
                <c:ptCount val="21"/>
                <c:pt idx="0">
                  <c:v>1999</c:v>
                </c:pt>
                <c:pt idx="1">
                  <c:v>2000</c:v>
                </c:pt>
                <c:pt idx="2">
                  <c:v>2001</c:v>
                </c:pt>
                <c:pt idx="3">
                  <c:v>2002</c:v>
                </c:pt>
                <c:pt idx="4">
                  <c:v>2003</c:v>
                </c:pt>
                <c:pt idx="5">
                  <c:v>2004</c:v>
                </c:pt>
                <c:pt idx="6">
                  <c:v>2005</c:v>
                </c:pt>
                <c:pt idx="7">
                  <c:v>2006</c:v>
                </c:pt>
                <c:pt idx="8">
                  <c:v>2007</c:v>
                </c:pt>
                <c:pt idx="9">
                  <c:v>2008</c:v>
                </c:pt>
                <c:pt idx="10">
                  <c:v>2009</c:v>
                </c:pt>
                <c:pt idx="11">
                  <c:v>2010</c:v>
                </c:pt>
                <c:pt idx="12">
                  <c:v>2011</c:v>
                </c:pt>
                <c:pt idx="13">
                  <c:v>2012</c:v>
                </c:pt>
                <c:pt idx="14">
                  <c:v>2013</c:v>
                </c:pt>
                <c:pt idx="15">
                  <c:v>2014</c:v>
                </c:pt>
                <c:pt idx="16">
                  <c:v>2015</c:v>
                </c:pt>
                <c:pt idx="17">
                  <c:v>2016</c:v>
                </c:pt>
                <c:pt idx="18">
                  <c:v>2017</c:v>
                </c:pt>
                <c:pt idx="19">
                  <c:v>2018</c:v>
                </c:pt>
                <c:pt idx="20">
                  <c:v>2019</c:v>
                </c:pt>
              </c:numCache>
            </c:numRef>
          </c:cat>
          <c:val>
            <c:numRef>
              <c:f>Sheet1!$G$2:$G$22</c:f>
              <c:numCache>
                <c:formatCode>0.0</c:formatCode>
                <c:ptCount val="21"/>
                <c:pt idx="0">
                  <c:v>5.2300903486681189</c:v>
                </c:pt>
                <c:pt idx="1">
                  <c:v>9.3965639457290564</c:v>
                </c:pt>
                <c:pt idx="2">
                  <c:v>12.620434805811017</c:v>
                </c:pt>
                <c:pt idx="3">
                  <c:v>14.657253057700188</c:v>
                </c:pt>
                <c:pt idx="4">
                  <c:v>16.008703073936328</c:v>
                </c:pt>
                <c:pt idx="5">
                  <c:v>16.717595523115445</c:v>
                </c:pt>
                <c:pt idx="6">
                  <c:v>17.590550987599844</c:v>
                </c:pt>
                <c:pt idx="7">
                  <c:v>18.285091033289266</c:v>
                </c:pt>
                <c:pt idx="8">
                  <c:v>18.611626856924808</c:v>
                </c:pt>
                <c:pt idx="9">
                  <c:v>18.760963409011413</c:v>
                </c:pt>
                <c:pt idx="10">
                  <c:v>18.86403196329524</c:v>
                </c:pt>
                <c:pt idx="11">
                  <c:v>18.742537324415569</c:v>
                </c:pt>
                <c:pt idx="12">
                  <c:v>19.184109002372107</c:v>
                </c:pt>
                <c:pt idx="13">
                  <c:v>19.162387370558655</c:v>
                </c:pt>
                <c:pt idx="14">
                  <c:v>18.656724193600532</c:v>
                </c:pt>
                <c:pt idx="15">
                  <c:v>17.560366190653138</c:v>
                </c:pt>
                <c:pt idx="16">
                  <c:v>18.051558319354843</c:v>
                </c:pt>
                <c:pt idx="17">
                  <c:v>17.673295085391953</c:v>
                </c:pt>
                <c:pt idx="18">
                  <c:v>16.947336765250434</c:v>
                </c:pt>
                <c:pt idx="19">
                  <c:v>16.961725342037543</c:v>
                </c:pt>
                <c:pt idx="20">
                  <c:v>17.123895933109452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978C-40E9-8709-6A14251A590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548656000"/>
        <c:axId val="1548650176"/>
      </c:lineChart>
      <c:catAx>
        <c:axId val="28452864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900" baseline="0"/>
                  <a:t>Year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540000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8451200"/>
        <c:crosses val="autoZero"/>
        <c:auto val="1"/>
        <c:lblAlgn val="ctr"/>
        <c:lblOffset val="100"/>
        <c:noMultiLvlLbl val="0"/>
      </c:catAx>
      <c:valAx>
        <c:axId val="28451200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900"/>
                  <a:t>Number of Other/Unspecified</a:t>
                </a:r>
                <a:r>
                  <a:rPr lang="en-US" sz="1000" b="0" i="0" u="none" strike="noStrike" baseline="0">
                    <a:effectLst/>
                  </a:rPr>
                  <a:t> </a:t>
                </a:r>
                <a:r>
                  <a:rPr lang="en-US" sz="900"/>
                  <a:t>Cases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8452864"/>
        <c:crosses val="autoZero"/>
        <c:crossBetween val="between"/>
      </c:valAx>
      <c:valAx>
        <c:axId val="1548650176"/>
        <c:scaling>
          <c:orientation val="minMax"/>
        </c:scaling>
        <c:delete val="0"/>
        <c:axPos val="r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900" baseline="0"/>
                  <a:t>Cases per 100,000 Beneficiaries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0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548656000"/>
        <c:crosses val="max"/>
        <c:crossBetween val="between"/>
        <c:majorUnit val="20"/>
      </c:valAx>
      <c:catAx>
        <c:axId val="1548656000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548650176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"/>
          <c:y val="0.88494806966685668"/>
          <c:w val="1"/>
          <c:h val="0.11505193033314334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6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355</Words>
  <Characters>2027</Characters>
  <Application>Microsoft Office Word</Application>
  <DocSecurity>0</DocSecurity>
  <Lines>16</Lines>
  <Paragraphs>4</Paragraphs>
  <ScaleCrop>false</ScaleCrop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Kurth, Laura M. (CDC/NIOSH/RHD/SB)</dc:creator>
  <cp:keywords/>
  <dc:description/>
  <cp:lastModifiedBy>Kurth, Laura M. (CDC/NIOSH/RHD/SB)</cp:lastModifiedBy>
  <cp:revision>1</cp:revision>
  <dcterms:created xsi:type="dcterms:W3CDTF">2023-05-15T13:28:00Z</dcterms:created>
  <dcterms:modified xsi:type="dcterms:W3CDTF">2023-05-15T13:31:00Z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Enabled">
    <vt:lpwstr>true</vt:lpwstr>
  </property>
  <property fmtid="{D5CDD505-2E9C-101B-9397-08002B2CF9AE}" pid="3" name="MSIP_Label_7b94a7b8-f06c-4dfe-bdcc-9b548fd58c31_SetDate">
    <vt:lpwstr>2023-05-15T13:31:16Z</vt:lpwstr>
  </property>
  <property fmtid="{D5CDD505-2E9C-101B-9397-08002B2CF9AE}" pid="4" name="MSIP_Label_7b94a7b8-f06c-4dfe-bdcc-9b548fd58c31_Method">
    <vt:lpwstr>Privileged</vt:lpwstr>
  </property>
  <property fmtid="{D5CDD505-2E9C-101B-9397-08002B2CF9AE}" pid="5" name="MSIP_Label_7b94a7b8-f06c-4dfe-bdcc-9b548fd58c31_Name">
    <vt:lpwstr>7b94a7b8-f06c-4dfe-bdcc-9b548fd58c31</vt:lpwstr>
  </property>
  <property fmtid="{D5CDD505-2E9C-101B-9397-08002B2CF9AE}" pid="6" name="MSIP_Label_7b94a7b8-f06c-4dfe-bdcc-9b548fd58c31_SiteId">
    <vt:lpwstr>9ce70869-60db-44fd-abe8-d2767077fc8f</vt:lpwstr>
  </property>
  <property fmtid="{D5CDD505-2E9C-101B-9397-08002B2CF9AE}" pid="7" name="MSIP_Label_7b94a7b8-f06c-4dfe-bdcc-9b548fd58c31_ActionId">
    <vt:lpwstr>497f0a25-0f6e-4426-86df-2c3a935757e4</vt:lpwstr>
  </property>
  <property fmtid="{D5CDD505-2E9C-101B-9397-08002B2CF9AE}" pid="8" name="MSIP_Label_7b94a7b8-f06c-4dfe-bdcc-9b548fd58c31_ContentBits">
    <vt:lpwstr>0</vt:lpwstr>
  </property>
</Properties>
</file>