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A22" w:rsidRDefault="00B33A22" w:rsidP="00B33A22"/>
    <w:p w:rsidR="00B33A22" w:rsidRDefault="00B33A22" w:rsidP="00B33A22">
      <w:pPr>
        <w:rPr>
          <w:b/>
        </w:rPr>
      </w:pPr>
      <w:r>
        <w:rPr>
          <w:b/>
        </w:rPr>
        <w:t>SUPPORTING INFORMATION</w:t>
      </w:r>
    </w:p>
    <w:p w:rsidR="00B33A22" w:rsidRDefault="00B33A22" w:rsidP="00B33A22"/>
    <w:p w:rsidR="00B33A22" w:rsidRDefault="00B33A22" w:rsidP="00B33A22">
      <w:pPr>
        <w:rPr>
          <w:b/>
          <w:sz w:val="20"/>
          <w:szCs w:val="20"/>
        </w:rPr>
      </w:pPr>
      <w:r>
        <w:rPr>
          <w:b/>
          <w:sz w:val="20"/>
          <w:szCs w:val="20"/>
        </w:rPr>
        <w:t>Sample Collection</w:t>
      </w:r>
    </w:p>
    <w:p w:rsidR="00B33A22" w:rsidRDefault="00B33A22" w:rsidP="00B33A22">
      <w:pPr>
        <w:rPr>
          <w:sz w:val="20"/>
          <w:szCs w:val="20"/>
        </w:rPr>
      </w:pPr>
      <w:r>
        <w:rPr>
          <w:sz w:val="20"/>
          <w:szCs w:val="20"/>
        </w:rPr>
        <w:t xml:space="preserve">Harm reduction programs, drug user unions, and public health departments were eligible to send samples. Programs applied to use the service through the website </w:t>
      </w:r>
      <w:hyperlink r:id="rId5">
        <w:r>
          <w:rPr>
            <w:color w:val="1155CC"/>
            <w:sz w:val="20"/>
            <w:szCs w:val="20"/>
            <w:u w:val="single"/>
          </w:rPr>
          <w:t>https://streetsafe.supply</w:t>
        </w:r>
      </w:hyperlink>
      <w:r>
        <w:rPr>
          <w:sz w:val="20"/>
          <w:szCs w:val="20"/>
        </w:rPr>
        <w:t xml:space="preserve"> and were vetted to prevent collusion with law enforcement. Most harm reduction programs were fixed site or mobile syringe service programs. Programs were required to review an instructional video (https://vimeo.com/571816432) and sent sample collection kits, which contained:</w:t>
      </w:r>
    </w:p>
    <w:p w:rsidR="00B33A22" w:rsidRDefault="00B33A22" w:rsidP="00B33A22">
      <w:pPr>
        <w:numPr>
          <w:ilvl w:val="0"/>
          <w:numId w:val="1"/>
        </w:numPr>
        <w:rPr>
          <w:sz w:val="20"/>
          <w:szCs w:val="20"/>
        </w:rPr>
      </w:pPr>
      <w:r>
        <w:rPr>
          <w:sz w:val="20"/>
          <w:szCs w:val="20"/>
        </w:rPr>
        <w:t>surgical drape to provide a clean surface and prevent contamination</w:t>
      </w:r>
    </w:p>
    <w:p w:rsidR="00B33A22" w:rsidRDefault="00B33A22" w:rsidP="00B33A22">
      <w:pPr>
        <w:numPr>
          <w:ilvl w:val="0"/>
          <w:numId w:val="1"/>
        </w:numPr>
        <w:rPr>
          <w:sz w:val="20"/>
          <w:szCs w:val="20"/>
        </w:rPr>
      </w:pPr>
      <w:r>
        <w:rPr>
          <w:sz w:val="20"/>
          <w:szCs w:val="20"/>
        </w:rPr>
        <w:t>pair of nitrile gloves</w:t>
      </w:r>
    </w:p>
    <w:p w:rsidR="00B33A22" w:rsidRDefault="00B33A22" w:rsidP="00B33A22">
      <w:pPr>
        <w:numPr>
          <w:ilvl w:val="0"/>
          <w:numId w:val="1"/>
        </w:numPr>
        <w:rPr>
          <w:sz w:val="20"/>
          <w:szCs w:val="20"/>
        </w:rPr>
      </w:pPr>
      <w:r>
        <w:rPr>
          <w:sz w:val="20"/>
          <w:szCs w:val="20"/>
        </w:rPr>
        <w:t>packet of 2 swabs</w:t>
      </w:r>
    </w:p>
    <w:p w:rsidR="00B33A22" w:rsidRDefault="00B33A22" w:rsidP="00B33A22">
      <w:pPr>
        <w:numPr>
          <w:ilvl w:val="0"/>
          <w:numId w:val="1"/>
        </w:numPr>
        <w:rPr>
          <w:sz w:val="20"/>
          <w:szCs w:val="20"/>
        </w:rPr>
      </w:pPr>
      <w:r>
        <w:rPr>
          <w:sz w:val="20"/>
          <w:szCs w:val="20"/>
        </w:rPr>
        <w:t>non-static 10mg plastic scoop</w:t>
      </w:r>
    </w:p>
    <w:p w:rsidR="00B33A22" w:rsidRDefault="00B33A22" w:rsidP="00B33A22">
      <w:pPr>
        <w:numPr>
          <w:ilvl w:val="0"/>
          <w:numId w:val="1"/>
        </w:numPr>
        <w:rPr>
          <w:sz w:val="20"/>
          <w:szCs w:val="20"/>
        </w:rPr>
      </w:pPr>
      <w:r>
        <w:rPr>
          <w:sz w:val="20"/>
          <w:szCs w:val="20"/>
        </w:rPr>
        <w:t>biodegradable bioplastic spatula</w:t>
      </w:r>
    </w:p>
    <w:p w:rsidR="00B33A22" w:rsidRDefault="00B33A22" w:rsidP="00B33A22">
      <w:pPr>
        <w:numPr>
          <w:ilvl w:val="0"/>
          <w:numId w:val="1"/>
        </w:numPr>
        <w:rPr>
          <w:sz w:val="20"/>
          <w:szCs w:val="20"/>
        </w:rPr>
      </w:pPr>
      <w:r>
        <w:rPr>
          <w:sz w:val="20"/>
          <w:szCs w:val="20"/>
        </w:rPr>
        <w:t>1 screw-top vial containing 1.5 mL acetonitrile (sealed with Parafilm)</w:t>
      </w:r>
    </w:p>
    <w:p w:rsidR="00B33A22" w:rsidRDefault="00B33A22" w:rsidP="00B33A22">
      <w:pPr>
        <w:numPr>
          <w:ilvl w:val="0"/>
          <w:numId w:val="1"/>
        </w:numPr>
        <w:rPr>
          <w:sz w:val="20"/>
          <w:szCs w:val="20"/>
        </w:rPr>
      </w:pPr>
      <w:r>
        <w:rPr>
          <w:sz w:val="20"/>
          <w:szCs w:val="20"/>
        </w:rPr>
        <w:t>2 pieces of Parafilm to reseal the vial</w:t>
      </w:r>
    </w:p>
    <w:p w:rsidR="00B33A22" w:rsidRDefault="00B33A22" w:rsidP="00B33A22">
      <w:pPr>
        <w:numPr>
          <w:ilvl w:val="0"/>
          <w:numId w:val="1"/>
        </w:numPr>
        <w:rPr>
          <w:sz w:val="20"/>
          <w:szCs w:val="20"/>
        </w:rPr>
      </w:pPr>
      <w:r>
        <w:rPr>
          <w:sz w:val="20"/>
          <w:szCs w:val="20"/>
        </w:rPr>
        <w:t>Instruction and data collection card</w:t>
      </w:r>
    </w:p>
    <w:p w:rsidR="00B33A22" w:rsidRDefault="00B33A22" w:rsidP="00B33A22">
      <w:pPr>
        <w:numPr>
          <w:ilvl w:val="0"/>
          <w:numId w:val="1"/>
        </w:numPr>
        <w:rPr>
          <w:sz w:val="20"/>
          <w:szCs w:val="20"/>
        </w:rPr>
      </w:pPr>
      <w:r>
        <w:rPr>
          <w:sz w:val="20"/>
          <w:szCs w:val="20"/>
        </w:rPr>
        <w:t>card with QR code for accessing results to provide to donor</w:t>
      </w:r>
    </w:p>
    <w:p w:rsidR="00B33A22" w:rsidRDefault="00B33A22" w:rsidP="00B33A22">
      <w:pPr>
        <w:numPr>
          <w:ilvl w:val="0"/>
          <w:numId w:val="1"/>
        </w:numPr>
        <w:rPr>
          <w:sz w:val="20"/>
          <w:szCs w:val="20"/>
        </w:rPr>
      </w:pPr>
      <w:r>
        <w:rPr>
          <w:sz w:val="20"/>
          <w:szCs w:val="20"/>
        </w:rPr>
        <w:t>golf pencil</w:t>
      </w:r>
    </w:p>
    <w:p w:rsidR="00B33A22" w:rsidRDefault="00B33A22" w:rsidP="00B33A22">
      <w:pPr>
        <w:numPr>
          <w:ilvl w:val="0"/>
          <w:numId w:val="1"/>
        </w:numPr>
        <w:rPr>
          <w:sz w:val="20"/>
          <w:szCs w:val="20"/>
        </w:rPr>
      </w:pPr>
      <w:r>
        <w:rPr>
          <w:sz w:val="20"/>
          <w:szCs w:val="20"/>
        </w:rPr>
        <w:t>pre-addressed and prepaid return FedEx Ground mailers</w:t>
      </w:r>
    </w:p>
    <w:p w:rsidR="00B33A22" w:rsidRDefault="00B33A22" w:rsidP="00B33A22">
      <w:pPr>
        <w:rPr>
          <w:sz w:val="20"/>
          <w:szCs w:val="20"/>
        </w:rPr>
      </w:pPr>
    </w:p>
    <w:p w:rsidR="00B33A22" w:rsidRDefault="00B33A22" w:rsidP="00B33A22">
      <w:pPr>
        <w:rPr>
          <w:sz w:val="20"/>
          <w:szCs w:val="20"/>
        </w:rPr>
      </w:pPr>
      <w:r>
        <w:rPr>
          <w:sz w:val="20"/>
          <w:szCs w:val="20"/>
        </w:rPr>
        <w:t>Sample donors were anonymous to the lab, but program identities were known. Results were returned to participants (a condition of service utilization) using a QR code linking to a website with anonymized public results. Data collection card and instructions are shown below.</w:t>
      </w:r>
    </w:p>
    <w:p w:rsidR="00943BD7" w:rsidRDefault="00943BD7" w:rsidP="00B33A22">
      <w:pPr>
        <w:rPr>
          <w:sz w:val="20"/>
          <w:szCs w:val="20"/>
        </w:rPr>
      </w:pPr>
    </w:p>
    <w:p w:rsidR="00B33A22" w:rsidRDefault="00B33A22" w:rsidP="00B33A22"/>
    <w:p w:rsidR="00943BD7" w:rsidRDefault="00B33A22" w:rsidP="00943BD7">
      <w:pPr>
        <w:keepNext/>
      </w:pPr>
      <w:r>
        <w:rPr>
          <w:noProof/>
        </w:rPr>
        <w:lastRenderedPageBreak/>
        <w:drawing>
          <wp:inline distT="114300" distB="114300" distL="114300" distR="114300" wp14:anchorId="6E36BB41" wp14:editId="44BA8CE5">
            <wp:extent cx="5943600" cy="3949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3949700"/>
                    </a:xfrm>
                    <a:prstGeom prst="rect">
                      <a:avLst/>
                    </a:prstGeom>
                    <a:ln/>
                  </pic:spPr>
                </pic:pic>
              </a:graphicData>
            </a:graphic>
          </wp:inline>
        </w:drawing>
      </w:r>
    </w:p>
    <w:p w:rsidR="00B33A22" w:rsidRDefault="00943BD7" w:rsidP="00943BD7">
      <w:pPr>
        <w:pStyle w:val="Caption"/>
      </w:pPr>
      <w:r>
        <w:t xml:space="preserve">Appendix Figure </w:t>
      </w:r>
      <w:r>
        <w:fldChar w:fldCharType="begin"/>
      </w:r>
      <w:r>
        <w:instrText xml:space="preserve"> SEQ Figure \* ARABIC </w:instrText>
      </w:r>
      <w:r>
        <w:fldChar w:fldCharType="separate"/>
      </w:r>
      <w:r>
        <w:rPr>
          <w:noProof/>
        </w:rPr>
        <w:t>1</w:t>
      </w:r>
      <w:r>
        <w:fldChar w:fldCharType="end"/>
      </w:r>
      <w:r>
        <w:t xml:space="preserve"> - Data Collection Card Side A</w:t>
      </w:r>
    </w:p>
    <w:p w:rsidR="00943BD7" w:rsidRDefault="00B33A22" w:rsidP="00943BD7">
      <w:pPr>
        <w:keepNext/>
      </w:pPr>
      <w:r>
        <w:rPr>
          <w:noProof/>
        </w:rPr>
        <w:lastRenderedPageBreak/>
        <w:drawing>
          <wp:inline distT="114300" distB="114300" distL="114300" distR="114300" wp14:anchorId="43BC16C4" wp14:editId="21C2346C">
            <wp:extent cx="4781862" cy="7487587"/>
            <wp:effectExtent l="0" t="0" r="635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10484" cy="7532404"/>
                    </a:xfrm>
                    <a:prstGeom prst="rect">
                      <a:avLst/>
                    </a:prstGeom>
                    <a:ln/>
                  </pic:spPr>
                </pic:pic>
              </a:graphicData>
            </a:graphic>
          </wp:inline>
        </w:drawing>
      </w:r>
    </w:p>
    <w:p w:rsidR="00B33A22" w:rsidRDefault="00943BD7" w:rsidP="00943BD7">
      <w:pPr>
        <w:pStyle w:val="Caption"/>
      </w:pPr>
      <w:r>
        <w:t xml:space="preserve">Appendix Figure </w:t>
      </w:r>
      <w:r>
        <w:fldChar w:fldCharType="begin"/>
      </w:r>
      <w:r>
        <w:instrText xml:space="preserve"> SEQ Figure \* ARABIC </w:instrText>
      </w:r>
      <w:r>
        <w:fldChar w:fldCharType="separate"/>
      </w:r>
      <w:r>
        <w:rPr>
          <w:noProof/>
        </w:rPr>
        <w:t>2</w:t>
      </w:r>
      <w:r>
        <w:fldChar w:fldCharType="end"/>
      </w:r>
      <w:r>
        <w:t xml:space="preserve"> - Data Collection Card Side B</w:t>
      </w:r>
    </w:p>
    <w:p w:rsidR="00B33A22" w:rsidRDefault="00B33A22" w:rsidP="00B33A22"/>
    <w:p w:rsidR="00943BD7" w:rsidRDefault="00943BD7">
      <w:pPr>
        <w:spacing w:line="240" w:lineRule="auto"/>
        <w:rPr>
          <w:b/>
          <w:sz w:val="20"/>
          <w:szCs w:val="20"/>
        </w:rPr>
      </w:pPr>
      <w:r>
        <w:rPr>
          <w:b/>
          <w:sz w:val="20"/>
          <w:szCs w:val="20"/>
        </w:rPr>
        <w:br w:type="page"/>
      </w:r>
    </w:p>
    <w:p w:rsidR="00B33A22" w:rsidRDefault="00B33A22" w:rsidP="00B33A22">
      <w:pPr>
        <w:rPr>
          <w:b/>
          <w:sz w:val="20"/>
          <w:szCs w:val="20"/>
        </w:rPr>
      </w:pPr>
      <w:r>
        <w:rPr>
          <w:b/>
          <w:sz w:val="20"/>
          <w:szCs w:val="20"/>
        </w:rPr>
        <w:lastRenderedPageBreak/>
        <w:t>Sample Collection</w:t>
      </w:r>
    </w:p>
    <w:p w:rsidR="00B33A22" w:rsidRDefault="00B33A22" w:rsidP="00B33A22">
      <w:pPr>
        <w:rPr>
          <w:sz w:val="20"/>
          <w:szCs w:val="20"/>
        </w:rPr>
      </w:pPr>
    </w:p>
    <w:p w:rsidR="00B33A22" w:rsidRDefault="00B33A22" w:rsidP="00B33A22">
      <w:pPr>
        <w:rPr>
          <w:sz w:val="20"/>
          <w:szCs w:val="20"/>
        </w:rPr>
      </w:pPr>
      <w:r>
        <w:rPr>
          <w:sz w:val="20"/>
          <w:szCs w:val="20"/>
        </w:rPr>
        <w:t xml:space="preserve">In North Carolina, programs were solicited for participation in the drug checking service through outreach in collaboration with the NC Department of Health and Human Services and by word of mouth. Outside North Carolina, programs sought out the service through </w:t>
      </w:r>
      <w:proofErr w:type="gramStart"/>
      <w:r>
        <w:rPr>
          <w:sz w:val="20"/>
          <w:szCs w:val="20"/>
        </w:rPr>
        <w:t>word of mouth</w:t>
      </w:r>
      <w:proofErr w:type="gramEnd"/>
      <w:r>
        <w:rPr>
          <w:sz w:val="20"/>
          <w:szCs w:val="20"/>
        </w:rPr>
        <w:t xml:space="preserve"> referrals and from publicity through conference presentations and news media.</w:t>
      </w:r>
    </w:p>
    <w:p w:rsidR="00B33A22" w:rsidRDefault="00B33A22" w:rsidP="00B33A22">
      <w:pPr>
        <w:rPr>
          <w:sz w:val="20"/>
          <w:szCs w:val="20"/>
        </w:rPr>
      </w:pPr>
      <w:r>
        <w:rPr>
          <w:sz w:val="20"/>
          <w:szCs w:val="20"/>
        </w:rPr>
        <w:t xml:space="preserve"> </w:t>
      </w:r>
    </w:p>
    <w:p w:rsidR="00B33A22" w:rsidRDefault="00B33A22" w:rsidP="00B33A22">
      <w:pPr>
        <w:rPr>
          <w:sz w:val="20"/>
          <w:szCs w:val="20"/>
        </w:rPr>
      </w:pPr>
      <w:r>
        <w:rPr>
          <w:sz w:val="20"/>
          <w:szCs w:val="20"/>
        </w:rPr>
        <w:t>Programs in North Carolina were able to submit samples for free, thanks to funding from a private foundation and the NC General Assembly. Outside North Carolina, drug user unions were eligible to avail the service for free. Harm reduction programs and health departments were provided 5 free starter kits and then charged a sliding scale fee for subsequent samples ($20-$60). Harm reduction programs and health departments also used the service as confirmatory/complementary testing for point-of-care FTIR drug checking; about 60% of samples came from these FTIR sites, but the UNC lab was blinded to FTIR results. Dissolving drug samples in acetonitrile rendered them “unusable” by federal controlled substance standards, allowing them to be stored and mailed more easily. Sample originating locations (e.g., where obtained) could have been different from the location of the program collecting the sample.</w:t>
      </w:r>
    </w:p>
    <w:p w:rsidR="00B33A22" w:rsidRDefault="00B33A22" w:rsidP="00B33A22">
      <w:pPr>
        <w:rPr>
          <w:sz w:val="20"/>
          <w:szCs w:val="20"/>
        </w:rPr>
      </w:pPr>
    </w:p>
    <w:p w:rsidR="00B33A22" w:rsidRDefault="00B33A22" w:rsidP="00B33A22">
      <w:pPr>
        <w:rPr>
          <w:b/>
          <w:sz w:val="20"/>
          <w:szCs w:val="20"/>
        </w:rPr>
      </w:pPr>
      <w:r>
        <w:rPr>
          <w:b/>
          <w:sz w:val="20"/>
          <w:szCs w:val="20"/>
        </w:rPr>
        <w:t>Laboratory Methods</w:t>
      </w:r>
    </w:p>
    <w:p w:rsidR="00B33A22" w:rsidRDefault="00B33A22" w:rsidP="00B33A22">
      <w:pPr>
        <w:rPr>
          <w:sz w:val="20"/>
          <w:szCs w:val="20"/>
        </w:rPr>
      </w:pPr>
    </w:p>
    <w:p w:rsidR="00B33A22" w:rsidRDefault="00B33A22" w:rsidP="00B33A22">
      <w:pPr>
        <w:rPr>
          <w:i/>
          <w:sz w:val="20"/>
          <w:szCs w:val="20"/>
        </w:rPr>
      </w:pPr>
      <w:r>
        <w:rPr>
          <w:i/>
          <w:sz w:val="20"/>
          <w:szCs w:val="20"/>
        </w:rPr>
        <w:t>a. Sample preparation</w:t>
      </w:r>
    </w:p>
    <w:p w:rsidR="00B33A22" w:rsidRDefault="00B33A22" w:rsidP="00B33A22">
      <w:pPr>
        <w:rPr>
          <w:sz w:val="20"/>
          <w:szCs w:val="20"/>
        </w:rPr>
      </w:pPr>
      <w:proofErr w:type="spellStart"/>
      <w:r>
        <w:rPr>
          <w:sz w:val="20"/>
          <w:szCs w:val="20"/>
        </w:rPr>
        <w:t>i</w:t>
      </w:r>
      <w:proofErr w:type="spellEnd"/>
      <w:r>
        <w:rPr>
          <w:sz w:val="20"/>
          <w:szCs w:val="20"/>
        </w:rPr>
        <w:t>. Samples were sent to the laboratory in 4.0-mL vials containing the sample dissolved in 1.5mL acetonitrile. Samples were evaluated based upon participant-provided information of the expected substance. If necessary, the sample was diluted, or an appropriate extraction was performed following standard practices in forensic chemistry. Samples were provided as either: powder (approximately 10 mg); residue swabbed from the inside of an empty bag or used pipe or syringe; a fraction (approximately ¼) of a tablet; or a used cotton.</w:t>
      </w:r>
    </w:p>
    <w:p w:rsidR="00B33A22" w:rsidRDefault="00B33A22" w:rsidP="00B33A22">
      <w:pPr>
        <w:rPr>
          <w:sz w:val="20"/>
          <w:szCs w:val="20"/>
        </w:rPr>
      </w:pPr>
    </w:p>
    <w:p w:rsidR="00B33A22" w:rsidRDefault="00B33A22" w:rsidP="00B33A22">
      <w:pPr>
        <w:rPr>
          <w:sz w:val="20"/>
          <w:szCs w:val="20"/>
        </w:rPr>
      </w:pPr>
      <w:r>
        <w:rPr>
          <w:sz w:val="20"/>
          <w:szCs w:val="20"/>
        </w:rPr>
        <w:t>ii. Approximately 500μL of the extract was filtered into a 2.0-mL autosampler vial.</w:t>
      </w:r>
    </w:p>
    <w:p w:rsidR="00B33A22" w:rsidRDefault="00B33A22" w:rsidP="00B33A22">
      <w:pPr>
        <w:rPr>
          <w:sz w:val="20"/>
          <w:szCs w:val="20"/>
        </w:rPr>
      </w:pPr>
    </w:p>
    <w:p w:rsidR="00B33A22" w:rsidRDefault="00B33A22" w:rsidP="00B33A22">
      <w:pPr>
        <w:rPr>
          <w:i/>
          <w:sz w:val="20"/>
          <w:szCs w:val="20"/>
        </w:rPr>
      </w:pPr>
      <w:r>
        <w:rPr>
          <w:i/>
          <w:sz w:val="20"/>
          <w:szCs w:val="20"/>
        </w:rPr>
        <w:t>b. Analytical method</w:t>
      </w:r>
    </w:p>
    <w:p w:rsidR="00B33A22" w:rsidRDefault="00B33A22" w:rsidP="00B33A22">
      <w:pPr>
        <w:rPr>
          <w:sz w:val="20"/>
          <w:szCs w:val="20"/>
        </w:rPr>
      </w:pPr>
      <w:proofErr w:type="spellStart"/>
      <w:r>
        <w:rPr>
          <w:sz w:val="20"/>
          <w:szCs w:val="20"/>
        </w:rPr>
        <w:t>i</w:t>
      </w:r>
      <w:proofErr w:type="spellEnd"/>
      <w:r>
        <w:rPr>
          <w:sz w:val="20"/>
          <w:szCs w:val="20"/>
        </w:rPr>
        <w:t xml:space="preserve">. Samples were analyzed with a </w:t>
      </w:r>
      <w:proofErr w:type="spellStart"/>
      <w:r>
        <w:rPr>
          <w:sz w:val="20"/>
          <w:szCs w:val="20"/>
        </w:rPr>
        <w:t>ThermoScientific</w:t>
      </w:r>
      <w:proofErr w:type="spellEnd"/>
      <w:r>
        <w:rPr>
          <w:sz w:val="20"/>
          <w:szCs w:val="20"/>
        </w:rPr>
        <w:t xml:space="preserve"> </w:t>
      </w:r>
      <w:proofErr w:type="spellStart"/>
      <w:r>
        <w:rPr>
          <w:sz w:val="20"/>
          <w:szCs w:val="20"/>
        </w:rPr>
        <w:t>Exactive</w:t>
      </w:r>
      <w:proofErr w:type="spellEnd"/>
      <w:r>
        <w:rPr>
          <w:sz w:val="20"/>
          <w:szCs w:val="20"/>
        </w:rPr>
        <w:t xml:space="preserve"> GC with an electron ionization (EI) source. Compounds in the drug samples were identified qualitatively using a </w:t>
      </w:r>
      <w:proofErr w:type="spellStart"/>
      <w:r>
        <w:rPr>
          <w:sz w:val="20"/>
          <w:szCs w:val="20"/>
        </w:rPr>
        <w:t>Thermo</w:t>
      </w:r>
      <w:proofErr w:type="spellEnd"/>
      <w:r>
        <w:rPr>
          <w:sz w:val="20"/>
          <w:szCs w:val="20"/>
        </w:rPr>
        <w:t xml:space="preserve"> Scientific Q </w:t>
      </w:r>
      <w:proofErr w:type="spellStart"/>
      <w:r>
        <w:rPr>
          <w:sz w:val="20"/>
          <w:szCs w:val="20"/>
        </w:rPr>
        <w:t>Exactive</w:t>
      </w:r>
      <w:proofErr w:type="spellEnd"/>
      <w:r>
        <w:rPr>
          <w:sz w:val="20"/>
          <w:szCs w:val="20"/>
        </w:rPr>
        <w:t xml:space="preserve"> GC Orbitrap GC-MS System with a </w:t>
      </w:r>
      <w:proofErr w:type="spellStart"/>
      <w:r>
        <w:rPr>
          <w:sz w:val="20"/>
          <w:szCs w:val="20"/>
        </w:rPr>
        <w:t>TriPlus</w:t>
      </w:r>
      <w:proofErr w:type="spellEnd"/>
      <w:r>
        <w:rPr>
          <w:sz w:val="20"/>
          <w:szCs w:val="20"/>
        </w:rPr>
        <w:t xml:space="preserve"> RSH Autosampler. Gas chromatography separation was performed using a </w:t>
      </w:r>
      <w:proofErr w:type="spellStart"/>
      <w:r>
        <w:rPr>
          <w:sz w:val="20"/>
          <w:szCs w:val="20"/>
        </w:rPr>
        <w:t>Thermo</w:t>
      </w:r>
      <w:proofErr w:type="spellEnd"/>
      <w:r>
        <w:rPr>
          <w:sz w:val="20"/>
          <w:szCs w:val="20"/>
        </w:rPr>
        <w:t xml:space="preserve"> </w:t>
      </w:r>
      <w:proofErr w:type="spellStart"/>
      <w:r>
        <w:rPr>
          <w:sz w:val="20"/>
          <w:szCs w:val="20"/>
        </w:rPr>
        <w:t>TraceGOLD</w:t>
      </w:r>
      <w:proofErr w:type="spellEnd"/>
      <w:r>
        <w:rPr>
          <w:sz w:val="20"/>
          <w:szCs w:val="20"/>
        </w:rPr>
        <w:t xml:space="preserve"> TG-5SilMS column (30 m x 0.25 mm × 0.25 </w:t>
      </w:r>
      <w:proofErr w:type="spellStart"/>
      <w:r>
        <w:rPr>
          <w:sz w:val="20"/>
          <w:szCs w:val="20"/>
        </w:rPr>
        <w:t>μm</w:t>
      </w:r>
      <w:proofErr w:type="spellEnd"/>
      <w:r>
        <w:rPr>
          <w:sz w:val="20"/>
          <w:szCs w:val="20"/>
        </w:rPr>
        <w:t xml:space="preserve">). One microliter </w:t>
      </w:r>
      <w:proofErr w:type="gramStart"/>
      <w:r>
        <w:rPr>
          <w:sz w:val="20"/>
          <w:szCs w:val="20"/>
        </w:rPr>
        <w:t>injections</w:t>
      </w:r>
      <w:proofErr w:type="gramEnd"/>
      <w:r>
        <w:rPr>
          <w:sz w:val="20"/>
          <w:szCs w:val="20"/>
        </w:rPr>
        <w:t xml:space="preserve"> were carried out in split mode using a 20:1 ratio mode with Helium as a carrier gas (constant flow 1.5mL/min). The GC oven temperature programming started at 100°C and was ramped to 300°C at a rate of 30°C/min, with a 9-min hold time. The total run time was 17 minutes. The inlet temperature was 280°C, while the ion source was 230°C and the MS transfer line was set at 280°C. The AGC target was set to 1×10</w:t>
      </w:r>
      <w:r>
        <w:rPr>
          <w:sz w:val="20"/>
          <w:szCs w:val="20"/>
          <w:vertAlign w:val="superscript"/>
        </w:rPr>
        <w:t>6</w:t>
      </w:r>
      <w:r>
        <w:rPr>
          <w:sz w:val="20"/>
          <w:szCs w:val="20"/>
        </w:rPr>
        <w:t>. A 2.3-minute filament delay was used. Samples were acquired in positive mode in full SCAN mode with a range of m/z 40–500 and a resolution of 60,000.</w:t>
      </w:r>
    </w:p>
    <w:p w:rsidR="00B33A22" w:rsidRDefault="00B33A22" w:rsidP="00B33A22">
      <w:pPr>
        <w:rPr>
          <w:sz w:val="20"/>
          <w:szCs w:val="20"/>
        </w:rPr>
      </w:pPr>
    </w:p>
    <w:p w:rsidR="00B33A22" w:rsidRDefault="00B33A22" w:rsidP="00B33A22">
      <w:pPr>
        <w:rPr>
          <w:sz w:val="20"/>
          <w:szCs w:val="20"/>
        </w:rPr>
      </w:pPr>
      <w:r>
        <w:rPr>
          <w:sz w:val="20"/>
          <w:szCs w:val="20"/>
        </w:rPr>
        <w:t xml:space="preserve">ii. </w:t>
      </w:r>
      <w:proofErr w:type="spellStart"/>
      <w:r>
        <w:rPr>
          <w:sz w:val="20"/>
          <w:szCs w:val="20"/>
        </w:rPr>
        <w:t>Xcalibur</w:t>
      </w:r>
      <w:proofErr w:type="spellEnd"/>
      <w:r>
        <w:rPr>
          <w:sz w:val="20"/>
          <w:szCs w:val="20"/>
        </w:rPr>
        <w:t xml:space="preserve"> Qual Browser Version 4.5.445.18 (</w:t>
      </w:r>
      <w:proofErr w:type="spellStart"/>
      <w:r>
        <w:rPr>
          <w:sz w:val="20"/>
          <w:szCs w:val="20"/>
        </w:rPr>
        <w:t>ThermoFisher</w:t>
      </w:r>
      <w:proofErr w:type="spellEnd"/>
      <w:r>
        <w:rPr>
          <w:sz w:val="20"/>
          <w:szCs w:val="20"/>
        </w:rPr>
        <w:t xml:space="preserve">, </w:t>
      </w:r>
      <w:proofErr w:type="spellStart"/>
      <w:r>
        <w:rPr>
          <w:sz w:val="20"/>
          <w:szCs w:val="20"/>
        </w:rPr>
        <w:t>Breman</w:t>
      </w:r>
      <w:proofErr w:type="spellEnd"/>
      <w:r>
        <w:rPr>
          <w:sz w:val="20"/>
          <w:szCs w:val="20"/>
        </w:rPr>
        <w:t xml:space="preserve">, Germany) was used to analyze the data. Compound identification was performed using mass spectral libraries for fragmentation pattern analysis: SWGDRUG MS Library Version 3.10 (Scientific Working Group for the Analysis of Seized Drugs), Cayman Chemical (Ann Arbor, MI) and NIST 20 (National Institute of Standards and Technology, 2020 Version). If necessary, the retention time of compounds was compared to analytical reference standards. Standards were purchased from Cayman Chemical Company and </w:t>
      </w:r>
      <w:proofErr w:type="spellStart"/>
      <w:r>
        <w:rPr>
          <w:sz w:val="20"/>
          <w:szCs w:val="20"/>
        </w:rPr>
        <w:t>Cerilliant</w:t>
      </w:r>
      <w:proofErr w:type="spellEnd"/>
      <w:r>
        <w:rPr>
          <w:sz w:val="20"/>
          <w:szCs w:val="20"/>
        </w:rPr>
        <w:t xml:space="preserve"> Corporation (Round Rock, TX).</w:t>
      </w:r>
    </w:p>
    <w:p w:rsidR="00B33A22" w:rsidRDefault="00B33A22" w:rsidP="00B33A22"/>
    <w:p w:rsidR="00B33A22" w:rsidRDefault="00B33A22" w:rsidP="00B33A22"/>
    <w:p w:rsidR="00B33A22" w:rsidRDefault="00B33A22" w:rsidP="00B33A22">
      <w:pPr>
        <w:rPr>
          <w:b/>
        </w:rPr>
      </w:pPr>
      <w:r>
        <w:rPr>
          <w:b/>
        </w:rPr>
        <w:t>APPENDIX TABLE 1. Classification count tables for presence of fentanyl in stimulants, comparing sample donor expectations with laboratory results</w:t>
      </w:r>
    </w:p>
    <w:p w:rsidR="00B33A22" w:rsidRDefault="00B33A22" w:rsidP="00B33A22">
      <w:pPr>
        <w:rPr>
          <w:b/>
        </w:rPr>
      </w:pPr>
    </w:p>
    <w:p w:rsidR="00B33A22" w:rsidRDefault="00B33A22" w:rsidP="00B33A22">
      <w:pPr>
        <w:rPr>
          <w:b/>
        </w:rPr>
      </w:pPr>
    </w:p>
    <w:p w:rsidR="00B33A22" w:rsidRDefault="00B33A22" w:rsidP="00B33A22"/>
    <w:tbl>
      <w:tblPr>
        <w:tblW w:w="5070" w:type="dxa"/>
        <w:tblBorders>
          <w:top w:val="nil"/>
          <w:left w:val="nil"/>
          <w:bottom w:val="nil"/>
          <w:right w:val="nil"/>
          <w:insideH w:val="nil"/>
          <w:insideV w:val="nil"/>
        </w:tblBorders>
        <w:tblLayout w:type="fixed"/>
        <w:tblLook w:val="0600" w:firstRow="0" w:lastRow="0" w:firstColumn="0" w:lastColumn="0" w:noHBand="1" w:noVBand="1"/>
      </w:tblPr>
      <w:tblGrid>
        <w:gridCol w:w="1095"/>
        <w:gridCol w:w="660"/>
        <w:gridCol w:w="1380"/>
        <w:gridCol w:w="1395"/>
        <w:gridCol w:w="540"/>
      </w:tblGrid>
      <w:tr w:rsidR="00B33A22" w:rsidTr="006435AD">
        <w:trPr>
          <w:trHeight w:val="415"/>
        </w:trPr>
        <w:tc>
          <w:tcPr>
            <w:tcW w:w="1755" w:type="dxa"/>
            <w:gridSpan w:val="2"/>
            <w:tcBorders>
              <w:top w:val="nil"/>
              <w:left w:val="nil"/>
              <w:bottom w:val="nil"/>
              <w:right w:val="nil"/>
            </w:tcBorders>
            <w:shd w:val="clear" w:color="auto" w:fill="000000"/>
            <w:tcMar>
              <w:top w:w="20" w:type="dxa"/>
              <w:left w:w="20" w:type="dxa"/>
              <w:bottom w:w="100" w:type="dxa"/>
              <w:right w:w="20" w:type="dxa"/>
            </w:tcMar>
            <w:vAlign w:val="bottom"/>
          </w:tcPr>
          <w:p w:rsidR="00B33A22" w:rsidRDefault="00B33A22" w:rsidP="006435AD">
            <w:pPr>
              <w:jc w:val="center"/>
            </w:pPr>
            <w:r>
              <w:rPr>
                <w:rFonts w:ascii="Calibri" w:eastAsia="Calibri" w:hAnsi="Calibri" w:cs="Calibri"/>
                <w:b/>
                <w:color w:val="FFFFFF"/>
                <w:sz w:val="24"/>
                <w:szCs w:val="24"/>
              </w:rPr>
              <w:t>ALL SAMPLES</w:t>
            </w: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2775" w:type="dxa"/>
            <w:gridSpan w:val="2"/>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r>
              <w:rPr>
                <w:rFonts w:ascii="Calibri" w:eastAsia="Calibri" w:hAnsi="Calibri" w:cs="Calibri"/>
                <w:b/>
                <w:sz w:val="24"/>
                <w:szCs w:val="24"/>
              </w:rPr>
              <w:t>Lab Confirmed Fentanyl</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45"/>
        </w:trPr>
        <w:tc>
          <w:tcPr>
            <w:tcW w:w="1095" w:type="dxa"/>
            <w:vMerge w:val="restart"/>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b/>
                <w:sz w:val="24"/>
                <w:szCs w:val="24"/>
              </w:rPr>
              <w:t>Expected Fentanyl</w:t>
            </w: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Yes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No</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r>
      <w:tr w:rsidR="00B33A22" w:rsidTr="006435AD">
        <w:trPr>
          <w:trHeight w:val="68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59</w:t>
            </w:r>
          </w:p>
        </w:tc>
        <w:tc>
          <w:tcPr>
            <w:tcW w:w="1395" w:type="dxa"/>
            <w:tcBorders>
              <w:top w:val="single" w:sz="5" w:space="0" w:color="000000"/>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40</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99</w:t>
            </w:r>
          </w:p>
        </w:tc>
      </w:tr>
      <w:tr w:rsidR="00B33A22" w:rsidTr="006435AD">
        <w:trPr>
          <w:trHeight w:val="77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No</w:t>
            </w:r>
          </w:p>
        </w:tc>
        <w:tc>
          <w:tcPr>
            <w:tcW w:w="1380" w:type="dxa"/>
            <w:tcBorders>
              <w:top w:val="nil"/>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38</w:t>
            </w:r>
          </w:p>
        </w:tc>
        <w:tc>
          <w:tcPr>
            <w:tcW w:w="1395" w:type="dxa"/>
            <w:tcBorders>
              <w:top w:val="nil"/>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581</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619</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97</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621</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718</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4530" w:type="dxa"/>
            <w:gridSpan w:val="4"/>
            <w:tcBorders>
              <w:top w:val="nil"/>
              <w:left w:val="nil"/>
              <w:bottom w:val="nil"/>
              <w:right w:val="nil"/>
            </w:tcBorders>
            <w:shd w:val="clear" w:color="auto" w:fill="000000"/>
            <w:tcMar>
              <w:top w:w="20" w:type="dxa"/>
              <w:left w:w="20" w:type="dxa"/>
              <w:bottom w:w="100" w:type="dxa"/>
              <w:right w:w="20" w:type="dxa"/>
            </w:tcMar>
            <w:vAlign w:val="bottom"/>
          </w:tcPr>
          <w:p w:rsidR="00B33A22" w:rsidRDefault="00B33A22" w:rsidP="006435AD">
            <w:pPr>
              <w:jc w:val="center"/>
            </w:pPr>
            <w:r>
              <w:rPr>
                <w:rFonts w:ascii="Calibri" w:eastAsia="Calibri" w:hAnsi="Calibri" w:cs="Calibri"/>
                <w:b/>
                <w:color w:val="FFFFFF"/>
                <w:sz w:val="24"/>
                <w:szCs w:val="24"/>
              </w:rPr>
              <w:t>POWDER METHAMPHETAMINE</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2775" w:type="dxa"/>
            <w:gridSpan w:val="2"/>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r>
              <w:rPr>
                <w:rFonts w:ascii="Calibri" w:eastAsia="Calibri" w:hAnsi="Calibri" w:cs="Calibri"/>
                <w:b/>
                <w:sz w:val="24"/>
                <w:szCs w:val="24"/>
              </w:rPr>
              <w:t>Lab Confirmed Fentanyl</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45"/>
        </w:trPr>
        <w:tc>
          <w:tcPr>
            <w:tcW w:w="1095" w:type="dxa"/>
            <w:vMerge w:val="restart"/>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b/>
                <w:sz w:val="24"/>
                <w:szCs w:val="24"/>
              </w:rPr>
              <w:t>Expected Fentanyl</w:t>
            </w: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Yes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No</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r>
      <w:tr w:rsidR="00B33A22" w:rsidTr="006435AD">
        <w:trPr>
          <w:trHeight w:val="640"/>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29</w:t>
            </w:r>
          </w:p>
        </w:tc>
        <w:tc>
          <w:tcPr>
            <w:tcW w:w="1395" w:type="dxa"/>
            <w:tcBorders>
              <w:top w:val="single" w:sz="5" w:space="0" w:color="000000"/>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22</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51</w:t>
            </w:r>
          </w:p>
        </w:tc>
      </w:tr>
      <w:tr w:rsidR="00B33A22" w:rsidTr="006435AD">
        <w:trPr>
          <w:trHeight w:val="71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No</w:t>
            </w:r>
          </w:p>
        </w:tc>
        <w:tc>
          <w:tcPr>
            <w:tcW w:w="1380" w:type="dxa"/>
            <w:tcBorders>
              <w:top w:val="nil"/>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10</w:t>
            </w:r>
          </w:p>
        </w:tc>
        <w:tc>
          <w:tcPr>
            <w:tcW w:w="1395" w:type="dxa"/>
            <w:tcBorders>
              <w:top w:val="nil"/>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121</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131</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39</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143</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182</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3135" w:type="dxa"/>
            <w:gridSpan w:val="3"/>
            <w:tcBorders>
              <w:top w:val="nil"/>
              <w:left w:val="nil"/>
              <w:bottom w:val="nil"/>
              <w:right w:val="nil"/>
            </w:tcBorders>
            <w:shd w:val="clear" w:color="auto" w:fill="000000"/>
            <w:tcMar>
              <w:top w:w="20" w:type="dxa"/>
              <w:left w:w="20" w:type="dxa"/>
              <w:bottom w:w="100" w:type="dxa"/>
              <w:right w:w="20" w:type="dxa"/>
            </w:tcMar>
            <w:vAlign w:val="bottom"/>
          </w:tcPr>
          <w:p w:rsidR="00B33A22" w:rsidRDefault="00B33A22" w:rsidP="006435AD">
            <w:pPr>
              <w:jc w:val="center"/>
            </w:pPr>
            <w:r>
              <w:rPr>
                <w:rFonts w:ascii="Calibri" w:eastAsia="Calibri" w:hAnsi="Calibri" w:cs="Calibri"/>
                <w:b/>
                <w:color w:val="FFFFFF"/>
                <w:sz w:val="24"/>
                <w:szCs w:val="24"/>
              </w:rPr>
              <w:t>POWDER COCAINE</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2775" w:type="dxa"/>
            <w:gridSpan w:val="2"/>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r>
              <w:rPr>
                <w:rFonts w:ascii="Calibri" w:eastAsia="Calibri" w:hAnsi="Calibri" w:cs="Calibri"/>
                <w:b/>
                <w:sz w:val="24"/>
                <w:szCs w:val="24"/>
              </w:rPr>
              <w:t>Lab Confirmed Fentanyl</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45"/>
        </w:trPr>
        <w:tc>
          <w:tcPr>
            <w:tcW w:w="1095" w:type="dxa"/>
            <w:vMerge w:val="restart"/>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b/>
                <w:sz w:val="24"/>
                <w:szCs w:val="24"/>
              </w:rPr>
              <w:t>Expected Fentanyl</w:t>
            </w: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Yes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No</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r>
      <w:tr w:rsidR="00B33A22" w:rsidTr="006435AD">
        <w:trPr>
          <w:trHeight w:val="65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30</w:t>
            </w:r>
          </w:p>
        </w:tc>
        <w:tc>
          <w:tcPr>
            <w:tcW w:w="1395" w:type="dxa"/>
            <w:tcBorders>
              <w:top w:val="single" w:sz="5" w:space="0" w:color="000000"/>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12</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42</w:t>
            </w:r>
          </w:p>
        </w:tc>
      </w:tr>
      <w:tr w:rsidR="00B33A22" w:rsidTr="006435AD">
        <w:trPr>
          <w:trHeight w:val="640"/>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No</w:t>
            </w:r>
          </w:p>
        </w:tc>
        <w:tc>
          <w:tcPr>
            <w:tcW w:w="1380" w:type="dxa"/>
            <w:tcBorders>
              <w:top w:val="nil"/>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26</w:t>
            </w:r>
          </w:p>
        </w:tc>
        <w:tc>
          <w:tcPr>
            <w:tcW w:w="1395" w:type="dxa"/>
            <w:tcBorders>
              <w:top w:val="nil"/>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139</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165</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56</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151</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207</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3135" w:type="dxa"/>
            <w:gridSpan w:val="3"/>
            <w:tcBorders>
              <w:top w:val="nil"/>
              <w:left w:val="nil"/>
              <w:bottom w:val="nil"/>
              <w:right w:val="nil"/>
            </w:tcBorders>
            <w:shd w:val="clear" w:color="auto" w:fill="000000"/>
            <w:tcMar>
              <w:top w:w="20" w:type="dxa"/>
              <w:left w:w="20" w:type="dxa"/>
              <w:bottom w:w="100" w:type="dxa"/>
              <w:right w:w="20" w:type="dxa"/>
            </w:tcMar>
            <w:vAlign w:val="bottom"/>
          </w:tcPr>
          <w:p w:rsidR="00B33A22" w:rsidRDefault="00B33A22" w:rsidP="006435AD">
            <w:pPr>
              <w:jc w:val="center"/>
            </w:pPr>
            <w:r>
              <w:rPr>
                <w:rFonts w:ascii="Calibri" w:eastAsia="Calibri" w:hAnsi="Calibri" w:cs="Calibri"/>
                <w:b/>
                <w:color w:val="FFFFFF"/>
                <w:sz w:val="24"/>
                <w:szCs w:val="24"/>
              </w:rPr>
              <w:t>NO XYLAZINE</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2775" w:type="dxa"/>
            <w:gridSpan w:val="2"/>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r>
              <w:rPr>
                <w:rFonts w:ascii="Calibri" w:eastAsia="Calibri" w:hAnsi="Calibri" w:cs="Calibri"/>
                <w:b/>
                <w:sz w:val="24"/>
                <w:szCs w:val="24"/>
              </w:rPr>
              <w:t>Lab Confirmed Fentanyl</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45"/>
        </w:trPr>
        <w:tc>
          <w:tcPr>
            <w:tcW w:w="1095" w:type="dxa"/>
            <w:vMerge w:val="restart"/>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b/>
                <w:sz w:val="24"/>
                <w:szCs w:val="24"/>
              </w:rPr>
              <w:t>Expected Fentanyl</w:t>
            </w: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Yes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No</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r>
      <w:tr w:rsidR="00B33A22" w:rsidTr="006435AD">
        <w:trPr>
          <w:trHeight w:val="640"/>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44</w:t>
            </w:r>
          </w:p>
        </w:tc>
        <w:tc>
          <w:tcPr>
            <w:tcW w:w="1395" w:type="dxa"/>
            <w:tcBorders>
              <w:top w:val="single" w:sz="5" w:space="0" w:color="000000"/>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38</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82</w:t>
            </w:r>
          </w:p>
        </w:tc>
      </w:tr>
      <w:tr w:rsidR="00B33A22" w:rsidTr="006435AD">
        <w:trPr>
          <w:trHeight w:val="68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No</w:t>
            </w:r>
          </w:p>
        </w:tc>
        <w:tc>
          <w:tcPr>
            <w:tcW w:w="1380" w:type="dxa"/>
            <w:tcBorders>
              <w:top w:val="nil"/>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18</w:t>
            </w:r>
          </w:p>
        </w:tc>
        <w:tc>
          <w:tcPr>
            <w:tcW w:w="1395" w:type="dxa"/>
            <w:tcBorders>
              <w:top w:val="nil"/>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580</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598</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62</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618</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680</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3135" w:type="dxa"/>
            <w:gridSpan w:val="3"/>
            <w:tcBorders>
              <w:top w:val="nil"/>
              <w:left w:val="nil"/>
              <w:bottom w:val="nil"/>
              <w:right w:val="nil"/>
            </w:tcBorders>
            <w:shd w:val="clear" w:color="auto" w:fill="000000"/>
            <w:tcMar>
              <w:top w:w="20" w:type="dxa"/>
              <w:left w:w="20" w:type="dxa"/>
              <w:bottom w:w="100" w:type="dxa"/>
              <w:right w:w="20" w:type="dxa"/>
            </w:tcMar>
            <w:vAlign w:val="bottom"/>
          </w:tcPr>
          <w:p w:rsidR="00B33A22" w:rsidRDefault="00B33A22" w:rsidP="006435AD">
            <w:pPr>
              <w:jc w:val="center"/>
            </w:pPr>
            <w:r>
              <w:rPr>
                <w:rFonts w:ascii="Calibri" w:eastAsia="Calibri" w:hAnsi="Calibri" w:cs="Calibri"/>
                <w:b/>
                <w:color w:val="FFFFFF"/>
                <w:sz w:val="24"/>
                <w:szCs w:val="24"/>
              </w:rPr>
              <w:t>WITH XYLAZINE</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2775" w:type="dxa"/>
            <w:gridSpan w:val="2"/>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r>
              <w:rPr>
                <w:rFonts w:ascii="Calibri" w:eastAsia="Calibri" w:hAnsi="Calibri" w:cs="Calibri"/>
                <w:b/>
                <w:sz w:val="24"/>
                <w:szCs w:val="24"/>
              </w:rPr>
              <w:t>Lab Confirmed Fentanyl</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r>
      <w:tr w:rsidR="00B33A22" w:rsidTr="006435AD">
        <w:trPr>
          <w:trHeight w:val="445"/>
        </w:trPr>
        <w:tc>
          <w:tcPr>
            <w:tcW w:w="1095" w:type="dxa"/>
            <w:vMerge w:val="restart"/>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b/>
                <w:sz w:val="24"/>
                <w:szCs w:val="24"/>
              </w:rPr>
              <w:t>Expected Fentanyl</w:t>
            </w:r>
          </w:p>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Yes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No</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r>
      <w:tr w:rsidR="00B33A22" w:rsidTr="006435AD">
        <w:trPr>
          <w:trHeight w:val="700"/>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pPr>
              <w:widowControl w:val="0"/>
              <w:pBdr>
                <w:top w:val="nil"/>
                <w:left w:val="nil"/>
                <w:bottom w:val="nil"/>
                <w:right w:val="nil"/>
                <w:between w:val="nil"/>
              </w:pBdr>
            </w:pPr>
          </w:p>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15</w:t>
            </w:r>
          </w:p>
        </w:tc>
        <w:tc>
          <w:tcPr>
            <w:tcW w:w="1395" w:type="dxa"/>
            <w:tcBorders>
              <w:top w:val="single" w:sz="5" w:space="0" w:color="000000"/>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17</w:t>
            </w:r>
          </w:p>
        </w:tc>
      </w:tr>
      <w:tr w:rsidR="00B33A22" w:rsidTr="006435AD">
        <w:trPr>
          <w:trHeight w:val="745"/>
        </w:trPr>
        <w:tc>
          <w:tcPr>
            <w:tcW w:w="1095" w:type="dxa"/>
            <w:vMerge/>
            <w:tcBorders>
              <w:top w:val="nil"/>
              <w:left w:val="nil"/>
              <w:bottom w:val="nil"/>
              <w:right w:val="nil"/>
            </w:tcBorders>
            <w:shd w:val="clear" w:color="auto" w:fill="auto"/>
            <w:tcMar>
              <w:top w:w="100" w:type="dxa"/>
              <w:left w:w="100" w:type="dxa"/>
              <w:bottom w:w="100" w:type="dxa"/>
              <w:right w:w="100" w:type="dxa"/>
            </w:tcMar>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right"/>
            </w:pPr>
            <w:r>
              <w:rPr>
                <w:rFonts w:ascii="Calibri" w:eastAsia="Calibri" w:hAnsi="Calibri" w:cs="Calibri"/>
                <w:sz w:val="24"/>
                <w:szCs w:val="24"/>
              </w:rPr>
              <w:t>No</w:t>
            </w:r>
          </w:p>
        </w:tc>
        <w:tc>
          <w:tcPr>
            <w:tcW w:w="1380" w:type="dxa"/>
            <w:tcBorders>
              <w:top w:val="nil"/>
              <w:left w:val="single" w:sz="5" w:space="0" w:color="000000"/>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20</w:t>
            </w:r>
          </w:p>
        </w:tc>
        <w:tc>
          <w:tcPr>
            <w:tcW w:w="1395" w:type="dxa"/>
            <w:tcBorders>
              <w:top w:val="nil"/>
              <w:left w:val="nil"/>
              <w:bottom w:val="single" w:sz="5" w:space="0" w:color="000000"/>
              <w:right w:val="single" w:sz="5" w:space="0" w:color="000000"/>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1</w:t>
            </w:r>
          </w:p>
        </w:tc>
        <w:tc>
          <w:tcPr>
            <w:tcW w:w="540" w:type="dxa"/>
            <w:tcBorders>
              <w:top w:val="nil"/>
              <w:left w:val="nil"/>
              <w:bottom w:val="nil"/>
              <w:right w:val="nil"/>
            </w:tcBorders>
            <w:shd w:val="clear" w:color="auto" w:fill="auto"/>
            <w:tcMar>
              <w:top w:w="20" w:type="dxa"/>
              <w:left w:w="20" w:type="dxa"/>
              <w:bottom w:w="100" w:type="dxa"/>
              <w:right w:w="20" w:type="dxa"/>
            </w:tcMar>
            <w:vAlign w:val="center"/>
          </w:tcPr>
          <w:p w:rsidR="00B33A22" w:rsidRDefault="00B33A22" w:rsidP="006435AD">
            <w:pPr>
              <w:jc w:val="center"/>
            </w:pPr>
            <w:r>
              <w:rPr>
                <w:rFonts w:ascii="Calibri" w:eastAsia="Calibri" w:hAnsi="Calibri" w:cs="Calibri"/>
                <w:sz w:val="24"/>
                <w:szCs w:val="24"/>
              </w:rPr>
              <w:t>21</w:t>
            </w:r>
          </w:p>
        </w:tc>
      </w:tr>
      <w:tr w:rsidR="00B33A22" w:rsidTr="006435AD">
        <w:trPr>
          <w:trHeight w:val="415"/>
        </w:trPr>
        <w:tc>
          <w:tcPr>
            <w:tcW w:w="10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tc>
        <w:tc>
          <w:tcPr>
            <w:tcW w:w="66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widowControl w:val="0"/>
              <w:pBdr>
                <w:top w:val="nil"/>
                <w:left w:val="nil"/>
                <w:bottom w:val="nil"/>
                <w:right w:val="nil"/>
                <w:between w:val="nil"/>
              </w:pBdr>
            </w:pPr>
          </w:p>
        </w:tc>
        <w:tc>
          <w:tcPr>
            <w:tcW w:w="138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35</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3</w:t>
            </w:r>
          </w:p>
        </w:tc>
        <w:tc>
          <w:tcPr>
            <w:tcW w:w="540" w:type="dxa"/>
            <w:tcBorders>
              <w:top w:val="nil"/>
              <w:left w:val="nil"/>
              <w:bottom w:val="nil"/>
              <w:right w:val="nil"/>
            </w:tcBorders>
            <w:shd w:val="clear" w:color="auto" w:fill="auto"/>
            <w:tcMar>
              <w:top w:w="20" w:type="dxa"/>
              <w:left w:w="20" w:type="dxa"/>
              <w:bottom w:w="100" w:type="dxa"/>
              <w:right w:w="20" w:type="dxa"/>
            </w:tcMar>
            <w:vAlign w:val="bottom"/>
          </w:tcPr>
          <w:p w:rsidR="00B33A22" w:rsidRDefault="00B33A22" w:rsidP="006435AD">
            <w:pPr>
              <w:jc w:val="center"/>
            </w:pPr>
            <w:r>
              <w:rPr>
                <w:rFonts w:ascii="Calibri" w:eastAsia="Calibri" w:hAnsi="Calibri" w:cs="Calibri"/>
                <w:sz w:val="24"/>
                <w:szCs w:val="24"/>
              </w:rPr>
              <w:t>38</w:t>
            </w:r>
          </w:p>
        </w:tc>
      </w:tr>
    </w:tbl>
    <w:p w:rsidR="00E55294" w:rsidRDefault="00B33A22" w:rsidP="00B33A22">
      <w:pPr>
        <w:widowControl w:val="0"/>
        <w:pBdr>
          <w:top w:val="nil"/>
          <w:left w:val="nil"/>
          <w:bottom w:val="nil"/>
          <w:right w:val="nil"/>
          <w:between w:val="nil"/>
        </w:pBdr>
      </w:pPr>
      <w:r>
        <w:br w:type="page"/>
      </w:r>
    </w:p>
    <w:sectPr w:rsidR="00E55294" w:rsidSect="002D39E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0BA"/>
    <w:multiLevelType w:val="multilevel"/>
    <w:tmpl w:val="E4D8E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255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2"/>
    <w:rsid w:val="00017AA8"/>
    <w:rsid w:val="00022AD5"/>
    <w:rsid w:val="000305D2"/>
    <w:rsid w:val="0003238C"/>
    <w:rsid w:val="000337A2"/>
    <w:rsid w:val="0004336D"/>
    <w:rsid w:val="00044F83"/>
    <w:rsid w:val="0004751A"/>
    <w:rsid w:val="00086D66"/>
    <w:rsid w:val="000A0635"/>
    <w:rsid w:val="000A18DC"/>
    <w:rsid w:val="000A2678"/>
    <w:rsid w:val="000A4524"/>
    <w:rsid w:val="000A6ED2"/>
    <w:rsid w:val="000B5DFB"/>
    <w:rsid w:val="000C3014"/>
    <w:rsid w:val="000C3B11"/>
    <w:rsid w:val="000C729F"/>
    <w:rsid w:val="000D3B51"/>
    <w:rsid w:val="000E0A79"/>
    <w:rsid w:val="000E3C82"/>
    <w:rsid w:val="000E4470"/>
    <w:rsid w:val="000E5D4C"/>
    <w:rsid w:val="000F4CDD"/>
    <w:rsid w:val="000F5377"/>
    <w:rsid w:val="00107937"/>
    <w:rsid w:val="0013476B"/>
    <w:rsid w:val="00140DAB"/>
    <w:rsid w:val="00147302"/>
    <w:rsid w:val="00167A8B"/>
    <w:rsid w:val="00177608"/>
    <w:rsid w:val="00182634"/>
    <w:rsid w:val="001A232A"/>
    <w:rsid w:val="001D70DD"/>
    <w:rsid w:val="001F153E"/>
    <w:rsid w:val="00202394"/>
    <w:rsid w:val="002057FF"/>
    <w:rsid w:val="00214010"/>
    <w:rsid w:val="00217EFC"/>
    <w:rsid w:val="00222065"/>
    <w:rsid w:val="002221FD"/>
    <w:rsid w:val="00232856"/>
    <w:rsid w:val="002347E4"/>
    <w:rsid w:val="00244411"/>
    <w:rsid w:val="00251C2E"/>
    <w:rsid w:val="0025669C"/>
    <w:rsid w:val="002636E5"/>
    <w:rsid w:val="002658AC"/>
    <w:rsid w:val="002710A5"/>
    <w:rsid w:val="00280BEB"/>
    <w:rsid w:val="00280F64"/>
    <w:rsid w:val="00285C46"/>
    <w:rsid w:val="00290910"/>
    <w:rsid w:val="00292164"/>
    <w:rsid w:val="002A4F38"/>
    <w:rsid w:val="002B1342"/>
    <w:rsid w:val="002C0545"/>
    <w:rsid w:val="002C3A5F"/>
    <w:rsid w:val="002D00A4"/>
    <w:rsid w:val="002D6256"/>
    <w:rsid w:val="002E407C"/>
    <w:rsid w:val="002F26F2"/>
    <w:rsid w:val="002F7B41"/>
    <w:rsid w:val="00303BF8"/>
    <w:rsid w:val="00307FDF"/>
    <w:rsid w:val="0031347F"/>
    <w:rsid w:val="003218CF"/>
    <w:rsid w:val="00330374"/>
    <w:rsid w:val="0034721A"/>
    <w:rsid w:val="00356E1F"/>
    <w:rsid w:val="003642F6"/>
    <w:rsid w:val="00386A9B"/>
    <w:rsid w:val="003B20F7"/>
    <w:rsid w:val="003B6DD8"/>
    <w:rsid w:val="003C0C79"/>
    <w:rsid w:val="003D0430"/>
    <w:rsid w:val="003D3EAB"/>
    <w:rsid w:val="003D4737"/>
    <w:rsid w:val="003D6AF9"/>
    <w:rsid w:val="003E39FA"/>
    <w:rsid w:val="003E49DE"/>
    <w:rsid w:val="003E7812"/>
    <w:rsid w:val="003F5CB5"/>
    <w:rsid w:val="003F7060"/>
    <w:rsid w:val="00406306"/>
    <w:rsid w:val="00406D2B"/>
    <w:rsid w:val="004111AB"/>
    <w:rsid w:val="00412435"/>
    <w:rsid w:val="00412F52"/>
    <w:rsid w:val="00417FAD"/>
    <w:rsid w:val="004216B9"/>
    <w:rsid w:val="00426C78"/>
    <w:rsid w:val="00427D53"/>
    <w:rsid w:val="004413E4"/>
    <w:rsid w:val="00441E0D"/>
    <w:rsid w:val="00442D5A"/>
    <w:rsid w:val="00456CEA"/>
    <w:rsid w:val="00463606"/>
    <w:rsid w:val="0046439A"/>
    <w:rsid w:val="00467195"/>
    <w:rsid w:val="00467BF1"/>
    <w:rsid w:val="00476649"/>
    <w:rsid w:val="004917FD"/>
    <w:rsid w:val="004A485A"/>
    <w:rsid w:val="004A61CF"/>
    <w:rsid w:val="004B1586"/>
    <w:rsid w:val="004B6275"/>
    <w:rsid w:val="004C31F9"/>
    <w:rsid w:val="004C4341"/>
    <w:rsid w:val="004C5C68"/>
    <w:rsid w:val="004D168D"/>
    <w:rsid w:val="004D1BF2"/>
    <w:rsid w:val="004E07BE"/>
    <w:rsid w:val="00501414"/>
    <w:rsid w:val="00516599"/>
    <w:rsid w:val="00517972"/>
    <w:rsid w:val="00523F0D"/>
    <w:rsid w:val="00530E19"/>
    <w:rsid w:val="00531C3D"/>
    <w:rsid w:val="0053251C"/>
    <w:rsid w:val="00536391"/>
    <w:rsid w:val="00543989"/>
    <w:rsid w:val="005606F5"/>
    <w:rsid w:val="0056146D"/>
    <w:rsid w:val="00562D5D"/>
    <w:rsid w:val="00592C64"/>
    <w:rsid w:val="005953C1"/>
    <w:rsid w:val="005A740E"/>
    <w:rsid w:val="005B482A"/>
    <w:rsid w:val="005B4D95"/>
    <w:rsid w:val="005C0324"/>
    <w:rsid w:val="005D15AF"/>
    <w:rsid w:val="006103F9"/>
    <w:rsid w:val="006269CC"/>
    <w:rsid w:val="0063430A"/>
    <w:rsid w:val="00634809"/>
    <w:rsid w:val="00644B63"/>
    <w:rsid w:val="006536C8"/>
    <w:rsid w:val="00655152"/>
    <w:rsid w:val="0066593B"/>
    <w:rsid w:val="0067260B"/>
    <w:rsid w:val="00690FBC"/>
    <w:rsid w:val="006974E8"/>
    <w:rsid w:val="006A00E9"/>
    <w:rsid w:val="006A4798"/>
    <w:rsid w:val="006B6930"/>
    <w:rsid w:val="006D498A"/>
    <w:rsid w:val="006E5984"/>
    <w:rsid w:val="006F3B16"/>
    <w:rsid w:val="00711DE8"/>
    <w:rsid w:val="0071538B"/>
    <w:rsid w:val="0071643B"/>
    <w:rsid w:val="00724F3C"/>
    <w:rsid w:val="0072541D"/>
    <w:rsid w:val="0072555C"/>
    <w:rsid w:val="00734DB3"/>
    <w:rsid w:val="00736094"/>
    <w:rsid w:val="00737360"/>
    <w:rsid w:val="00746021"/>
    <w:rsid w:val="00755EFA"/>
    <w:rsid w:val="007575D2"/>
    <w:rsid w:val="00765295"/>
    <w:rsid w:val="00772FCB"/>
    <w:rsid w:val="007914AC"/>
    <w:rsid w:val="007A2BCD"/>
    <w:rsid w:val="007D5A01"/>
    <w:rsid w:val="007E0D0C"/>
    <w:rsid w:val="007E51BB"/>
    <w:rsid w:val="00800CA8"/>
    <w:rsid w:val="008036F1"/>
    <w:rsid w:val="008052ED"/>
    <w:rsid w:val="00810048"/>
    <w:rsid w:val="00826AEA"/>
    <w:rsid w:val="008334A0"/>
    <w:rsid w:val="00833775"/>
    <w:rsid w:val="00853610"/>
    <w:rsid w:val="00853BE2"/>
    <w:rsid w:val="0085463B"/>
    <w:rsid w:val="00871425"/>
    <w:rsid w:val="0087375A"/>
    <w:rsid w:val="00885527"/>
    <w:rsid w:val="00892091"/>
    <w:rsid w:val="0089536A"/>
    <w:rsid w:val="008A00FE"/>
    <w:rsid w:val="008C0E8A"/>
    <w:rsid w:val="008C1EC8"/>
    <w:rsid w:val="008C76A6"/>
    <w:rsid w:val="008C7C6D"/>
    <w:rsid w:val="008D550A"/>
    <w:rsid w:val="008D67BD"/>
    <w:rsid w:val="008D6A67"/>
    <w:rsid w:val="008D771E"/>
    <w:rsid w:val="00903CE8"/>
    <w:rsid w:val="009073C1"/>
    <w:rsid w:val="0091062D"/>
    <w:rsid w:val="00931BB9"/>
    <w:rsid w:val="00943BD7"/>
    <w:rsid w:val="00947823"/>
    <w:rsid w:val="00963408"/>
    <w:rsid w:val="0097196C"/>
    <w:rsid w:val="009817C8"/>
    <w:rsid w:val="00981F56"/>
    <w:rsid w:val="009858D4"/>
    <w:rsid w:val="00993FAB"/>
    <w:rsid w:val="00994B3E"/>
    <w:rsid w:val="009967E6"/>
    <w:rsid w:val="009A2FC5"/>
    <w:rsid w:val="009A4646"/>
    <w:rsid w:val="009A4F4F"/>
    <w:rsid w:val="009B2D87"/>
    <w:rsid w:val="009C173E"/>
    <w:rsid w:val="009C7FB8"/>
    <w:rsid w:val="009E13FB"/>
    <w:rsid w:val="009F62F2"/>
    <w:rsid w:val="00A04520"/>
    <w:rsid w:val="00A15746"/>
    <w:rsid w:val="00A16026"/>
    <w:rsid w:val="00A20B11"/>
    <w:rsid w:val="00A338E4"/>
    <w:rsid w:val="00A41D11"/>
    <w:rsid w:val="00A421E9"/>
    <w:rsid w:val="00A42F36"/>
    <w:rsid w:val="00A56EDC"/>
    <w:rsid w:val="00A62BB9"/>
    <w:rsid w:val="00A67C92"/>
    <w:rsid w:val="00A70F69"/>
    <w:rsid w:val="00A928E7"/>
    <w:rsid w:val="00A93F3E"/>
    <w:rsid w:val="00A949B6"/>
    <w:rsid w:val="00A95E06"/>
    <w:rsid w:val="00AA08ED"/>
    <w:rsid w:val="00AA3F63"/>
    <w:rsid w:val="00AA4D20"/>
    <w:rsid w:val="00AA6D3B"/>
    <w:rsid w:val="00AB0121"/>
    <w:rsid w:val="00AB1466"/>
    <w:rsid w:val="00AB1643"/>
    <w:rsid w:val="00AD696C"/>
    <w:rsid w:val="00AE1983"/>
    <w:rsid w:val="00AE2168"/>
    <w:rsid w:val="00AF73A1"/>
    <w:rsid w:val="00B141CF"/>
    <w:rsid w:val="00B14E2D"/>
    <w:rsid w:val="00B174FA"/>
    <w:rsid w:val="00B30944"/>
    <w:rsid w:val="00B32680"/>
    <w:rsid w:val="00B33A22"/>
    <w:rsid w:val="00B3654C"/>
    <w:rsid w:val="00B5660A"/>
    <w:rsid w:val="00B60262"/>
    <w:rsid w:val="00B67308"/>
    <w:rsid w:val="00B721DF"/>
    <w:rsid w:val="00B92B8B"/>
    <w:rsid w:val="00B934E9"/>
    <w:rsid w:val="00BA530A"/>
    <w:rsid w:val="00BA704B"/>
    <w:rsid w:val="00BD3893"/>
    <w:rsid w:val="00BD5D0A"/>
    <w:rsid w:val="00BD6703"/>
    <w:rsid w:val="00BD79B6"/>
    <w:rsid w:val="00BE3C5C"/>
    <w:rsid w:val="00BE7052"/>
    <w:rsid w:val="00BF134C"/>
    <w:rsid w:val="00BF24C0"/>
    <w:rsid w:val="00BF7A0E"/>
    <w:rsid w:val="00C00A15"/>
    <w:rsid w:val="00C054CD"/>
    <w:rsid w:val="00C05DA2"/>
    <w:rsid w:val="00C071F2"/>
    <w:rsid w:val="00C1166E"/>
    <w:rsid w:val="00C13654"/>
    <w:rsid w:val="00C260D1"/>
    <w:rsid w:val="00C269CF"/>
    <w:rsid w:val="00C31FA4"/>
    <w:rsid w:val="00C34461"/>
    <w:rsid w:val="00C366FC"/>
    <w:rsid w:val="00C37BB7"/>
    <w:rsid w:val="00C40318"/>
    <w:rsid w:val="00C420A8"/>
    <w:rsid w:val="00C466D5"/>
    <w:rsid w:val="00C5051F"/>
    <w:rsid w:val="00C52835"/>
    <w:rsid w:val="00C6557D"/>
    <w:rsid w:val="00C655C4"/>
    <w:rsid w:val="00C7388A"/>
    <w:rsid w:val="00C74158"/>
    <w:rsid w:val="00C74819"/>
    <w:rsid w:val="00C83CB2"/>
    <w:rsid w:val="00C9013A"/>
    <w:rsid w:val="00C92CA2"/>
    <w:rsid w:val="00C95624"/>
    <w:rsid w:val="00CC01BE"/>
    <w:rsid w:val="00CC04EA"/>
    <w:rsid w:val="00CC2268"/>
    <w:rsid w:val="00CE0130"/>
    <w:rsid w:val="00CE4DC7"/>
    <w:rsid w:val="00CE50FC"/>
    <w:rsid w:val="00CF020C"/>
    <w:rsid w:val="00CF438B"/>
    <w:rsid w:val="00D022A7"/>
    <w:rsid w:val="00D14F71"/>
    <w:rsid w:val="00D16D4D"/>
    <w:rsid w:val="00D16D85"/>
    <w:rsid w:val="00D218A5"/>
    <w:rsid w:val="00D21ACC"/>
    <w:rsid w:val="00D27EA6"/>
    <w:rsid w:val="00D32943"/>
    <w:rsid w:val="00D4550A"/>
    <w:rsid w:val="00D53C39"/>
    <w:rsid w:val="00D624C8"/>
    <w:rsid w:val="00D670C6"/>
    <w:rsid w:val="00D678B2"/>
    <w:rsid w:val="00D8471E"/>
    <w:rsid w:val="00D9159E"/>
    <w:rsid w:val="00DA5050"/>
    <w:rsid w:val="00DA7DBA"/>
    <w:rsid w:val="00DB2B65"/>
    <w:rsid w:val="00DB3224"/>
    <w:rsid w:val="00DB4AF8"/>
    <w:rsid w:val="00DB5DF3"/>
    <w:rsid w:val="00DC3DD9"/>
    <w:rsid w:val="00DE1C35"/>
    <w:rsid w:val="00DE37ED"/>
    <w:rsid w:val="00DF1345"/>
    <w:rsid w:val="00E02658"/>
    <w:rsid w:val="00E0520F"/>
    <w:rsid w:val="00E074BA"/>
    <w:rsid w:val="00E14746"/>
    <w:rsid w:val="00E157C2"/>
    <w:rsid w:val="00E33866"/>
    <w:rsid w:val="00E341EC"/>
    <w:rsid w:val="00E350D1"/>
    <w:rsid w:val="00E3663C"/>
    <w:rsid w:val="00E47AD0"/>
    <w:rsid w:val="00E55294"/>
    <w:rsid w:val="00E64559"/>
    <w:rsid w:val="00E75597"/>
    <w:rsid w:val="00E8701A"/>
    <w:rsid w:val="00E87C35"/>
    <w:rsid w:val="00EA536D"/>
    <w:rsid w:val="00EB35D7"/>
    <w:rsid w:val="00EC0FF8"/>
    <w:rsid w:val="00ED13BA"/>
    <w:rsid w:val="00ED3044"/>
    <w:rsid w:val="00ED3106"/>
    <w:rsid w:val="00ED6000"/>
    <w:rsid w:val="00EE20F4"/>
    <w:rsid w:val="00EE2F0A"/>
    <w:rsid w:val="00EE3DF5"/>
    <w:rsid w:val="00EF1C8E"/>
    <w:rsid w:val="00F045FF"/>
    <w:rsid w:val="00F0735C"/>
    <w:rsid w:val="00F07578"/>
    <w:rsid w:val="00F1193E"/>
    <w:rsid w:val="00F14CF7"/>
    <w:rsid w:val="00F226E7"/>
    <w:rsid w:val="00F2372B"/>
    <w:rsid w:val="00F2720C"/>
    <w:rsid w:val="00F3264C"/>
    <w:rsid w:val="00F37F9B"/>
    <w:rsid w:val="00F40ED5"/>
    <w:rsid w:val="00F51EF9"/>
    <w:rsid w:val="00F5522E"/>
    <w:rsid w:val="00F73313"/>
    <w:rsid w:val="00F870D5"/>
    <w:rsid w:val="00F946CC"/>
    <w:rsid w:val="00FA1840"/>
    <w:rsid w:val="00FD1C39"/>
    <w:rsid w:val="00FE597E"/>
    <w:rsid w:val="00FE6EDD"/>
    <w:rsid w:val="00FF15F1"/>
    <w:rsid w:val="00FF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C83E"/>
  <w14:defaultImageDpi w14:val="32767"/>
  <w15:chartTrackingRefBased/>
  <w15:docId w15:val="{C84CE2B7-6D9E-9244-BB70-50F6BD3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3A22"/>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6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3654"/>
    <w:rPr>
      <w:rFonts w:ascii="Times New Roman" w:hAnsi="Times New Roman" w:cs="Times New Roman"/>
      <w:sz w:val="18"/>
      <w:szCs w:val="18"/>
    </w:rPr>
  </w:style>
  <w:style w:type="paragraph" w:styleId="Caption">
    <w:name w:val="caption"/>
    <w:basedOn w:val="Normal"/>
    <w:next w:val="Normal"/>
    <w:uiPriority w:val="35"/>
    <w:unhideWhenUsed/>
    <w:qFormat/>
    <w:rsid w:val="00943BD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reetsafe.supp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Wagner</dc:creator>
  <cp:keywords/>
  <dc:description/>
  <cp:lastModifiedBy>Karla Wagner</cp:lastModifiedBy>
  <cp:revision>2</cp:revision>
  <dcterms:created xsi:type="dcterms:W3CDTF">2023-08-07T18:00:00Z</dcterms:created>
  <dcterms:modified xsi:type="dcterms:W3CDTF">2023-08-30T20:12:00Z</dcterms:modified>
</cp:coreProperties>
</file>