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6B85" w14:textId="77777777" w:rsidR="00A11C67" w:rsidRDefault="00A11C67" w:rsidP="00270AA9">
      <w:pPr>
        <w:spacing w:after="0" w:line="240" w:lineRule="auto"/>
        <w:rPr>
          <w:rFonts w:ascii="Times New Roman" w:hAnsi="Times New Roman" w:cs="Times New Roman"/>
          <w:b/>
          <w:bCs/>
          <w:sz w:val="24"/>
          <w:szCs w:val="24"/>
        </w:rPr>
      </w:pPr>
    </w:p>
    <w:p w14:paraId="15DCC36A" w14:textId="77777777" w:rsidR="00D129B3" w:rsidRPr="00CF7BB7" w:rsidRDefault="00D129B3" w:rsidP="00D129B3">
      <w:pPr>
        <w:spacing w:after="0" w:line="240" w:lineRule="auto"/>
        <w:ind w:right="1440"/>
        <w:rPr>
          <w:rFonts w:ascii="Times New Roman" w:eastAsia="Times New Roman" w:hAnsi="Times New Roman" w:cs="Times New Roman"/>
          <w:b/>
          <w:bCs/>
          <w:color w:val="000000"/>
          <w:sz w:val="24"/>
          <w:szCs w:val="24"/>
        </w:rPr>
      </w:pPr>
      <w:r w:rsidRPr="00CF7BB7">
        <w:rPr>
          <w:rFonts w:ascii="Times New Roman" w:eastAsia="Times New Roman" w:hAnsi="Times New Roman" w:cs="Times New Roman"/>
          <w:b/>
          <w:bCs/>
          <w:color w:val="000000"/>
          <w:sz w:val="24"/>
          <w:szCs w:val="24"/>
        </w:rPr>
        <w:t>Supplemental Table 1</w:t>
      </w:r>
      <w:r>
        <w:rPr>
          <w:rFonts w:ascii="Times New Roman" w:eastAsia="Times New Roman" w:hAnsi="Times New Roman" w:cs="Times New Roman"/>
          <w:b/>
          <w:bCs/>
          <w:color w:val="000000"/>
          <w:sz w:val="24"/>
          <w:szCs w:val="24"/>
        </w:rPr>
        <w:t>.  Criteria used to define conditions.</w:t>
      </w:r>
    </w:p>
    <w:tbl>
      <w:tblPr>
        <w:tblStyle w:val="TableGrid"/>
        <w:tblW w:w="0" w:type="auto"/>
        <w:tblLook w:val="04A0" w:firstRow="1" w:lastRow="0" w:firstColumn="1" w:lastColumn="0" w:noHBand="0" w:noVBand="1"/>
      </w:tblPr>
      <w:tblGrid>
        <w:gridCol w:w="3722"/>
        <w:gridCol w:w="6475"/>
      </w:tblGrid>
      <w:tr w:rsidR="00D129B3" w:rsidRPr="00CF7BB7" w14:paraId="3806A89E" w14:textId="77777777" w:rsidTr="00CB4ACE">
        <w:tc>
          <w:tcPr>
            <w:tcW w:w="2875" w:type="dxa"/>
          </w:tcPr>
          <w:p w14:paraId="04AB470E" w14:textId="77777777" w:rsidR="00D129B3" w:rsidRPr="00CF7BB7" w:rsidRDefault="00D129B3" w:rsidP="00CB4ACE">
            <w:pPr>
              <w:rPr>
                <w:rFonts w:ascii="Times New Roman" w:eastAsia="Times New Roman" w:hAnsi="Times New Roman" w:cs="Times New Roman"/>
                <w:b/>
                <w:bCs/>
                <w:color w:val="000000"/>
                <w:sz w:val="24"/>
                <w:szCs w:val="24"/>
              </w:rPr>
            </w:pPr>
            <w:r w:rsidRPr="00CF7BB7">
              <w:rPr>
                <w:rFonts w:ascii="Times New Roman" w:eastAsia="Times New Roman" w:hAnsi="Times New Roman" w:cs="Times New Roman"/>
                <w:b/>
                <w:bCs/>
                <w:color w:val="000000"/>
                <w:sz w:val="24"/>
                <w:szCs w:val="24"/>
              </w:rPr>
              <w:t>Condition</w:t>
            </w:r>
          </w:p>
        </w:tc>
        <w:tc>
          <w:tcPr>
            <w:tcW w:w="6464" w:type="dxa"/>
          </w:tcPr>
          <w:p w14:paraId="39D19324" w14:textId="77777777" w:rsidR="00D129B3" w:rsidRPr="00CF7BB7" w:rsidRDefault="00D129B3" w:rsidP="00CB4AC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Criteria</w:t>
            </w:r>
          </w:p>
        </w:tc>
      </w:tr>
      <w:tr w:rsidR="00D129B3" w:rsidRPr="00CF7BB7" w14:paraId="549681F5" w14:textId="77777777" w:rsidTr="00CB4ACE">
        <w:tc>
          <w:tcPr>
            <w:tcW w:w="2875" w:type="dxa"/>
          </w:tcPr>
          <w:p w14:paraId="727F7562" w14:textId="77777777" w:rsidR="00D129B3" w:rsidRPr="00CF7BB7" w:rsidRDefault="00D129B3" w:rsidP="00CB4ACE">
            <w:pPr>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 xml:space="preserve">Clinical ASCVD (defined as </w:t>
            </w:r>
            <w:r>
              <w:rPr>
                <w:rFonts w:ascii="Times New Roman" w:eastAsia="Times New Roman" w:hAnsi="Times New Roman" w:cs="Times New Roman"/>
                <w:color w:val="000000"/>
                <w:sz w:val="24"/>
                <w:szCs w:val="24"/>
              </w:rPr>
              <w:t>one or more of</w:t>
            </w:r>
            <w:r w:rsidRPr="00CF7BB7">
              <w:rPr>
                <w:rFonts w:ascii="Times New Roman" w:eastAsia="Times New Roman" w:hAnsi="Times New Roman" w:cs="Times New Roman"/>
                <w:color w:val="000000"/>
                <w:sz w:val="24"/>
                <w:szCs w:val="24"/>
              </w:rPr>
              <w:t xml:space="preserve"> the following </w:t>
            </w:r>
            <w:r>
              <w:rPr>
                <w:rFonts w:ascii="Times New Roman" w:eastAsia="Times New Roman" w:hAnsi="Times New Roman" w:cs="Times New Roman"/>
                <w:color w:val="000000"/>
                <w:sz w:val="24"/>
                <w:szCs w:val="24"/>
              </w:rPr>
              <w:t>criteria</w:t>
            </w:r>
            <w:r w:rsidRPr="00CF7BB7">
              <w:rPr>
                <w:rFonts w:ascii="Times New Roman" w:eastAsia="Times New Roman" w:hAnsi="Times New Roman" w:cs="Times New Roman"/>
                <w:color w:val="000000"/>
                <w:sz w:val="24"/>
                <w:szCs w:val="24"/>
              </w:rPr>
              <w:t xml:space="preserve">) </w:t>
            </w:r>
          </w:p>
        </w:tc>
        <w:tc>
          <w:tcPr>
            <w:tcW w:w="6464" w:type="dxa"/>
          </w:tcPr>
          <w:p w14:paraId="1EC73574" w14:textId="77777777" w:rsidR="00D129B3" w:rsidRPr="00CF7BB7" w:rsidRDefault="00D129B3" w:rsidP="00D129B3">
            <w:pPr>
              <w:pStyle w:val="ListParagraph"/>
              <w:numPr>
                <w:ilvl w:val="0"/>
                <w:numId w:val="1"/>
              </w:numPr>
              <w:spacing w:after="0" w:line="240" w:lineRule="auto"/>
              <w:ind w:left="339"/>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Stable or unstable angina, based on and answer of "yes" to the question "Has a doctor or other health professional ever told you that you had angina, also called angina pectoris?" or on responses to the Rose questionnaire criteria</w:t>
            </w:r>
            <w:r>
              <w:rPr>
                <w:rFonts w:ascii="Times New Roman" w:eastAsia="Times New Roman" w:hAnsi="Times New Roman" w:cs="Times New Roman"/>
                <w:color w:val="000000"/>
                <w:sz w:val="24"/>
                <w:szCs w:val="24"/>
              </w:rPr>
              <w:t xml:space="preserve">, </w:t>
            </w:r>
            <w:r w:rsidRPr="00CF7BB7">
              <w:rPr>
                <w:rFonts w:ascii="Times New Roman" w:eastAsia="Times New Roman" w:hAnsi="Times New Roman" w:cs="Times New Roman"/>
                <w:color w:val="000000"/>
                <w:sz w:val="24"/>
                <w:szCs w:val="24"/>
              </w:rPr>
              <w:t xml:space="preserve">see: </w:t>
            </w:r>
            <w:hyperlink r:id="rId7" w:history="1">
              <w:r w:rsidRPr="00F3773F">
                <w:rPr>
                  <w:rStyle w:val="Hyperlink"/>
                  <w:rFonts w:ascii="Times New Roman" w:eastAsia="Times New Roman" w:hAnsi="Times New Roman" w:cs="Times New Roman"/>
                  <w:sz w:val="24"/>
                  <w:szCs w:val="24"/>
                </w:rPr>
                <w:t>https://wwwn.cdc.gov/NCHS/Nhanes/2011-2012/CDQ_G.htm</w:t>
              </w:r>
            </w:hyperlink>
            <w:r>
              <w:rPr>
                <w:rFonts w:ascii="Times New Roman" w:eastAsia="Times New Roman" w:hAnsi="Times New Roman" w:cs="Times New Roman"/>
                <w:color w:val="000000"/>
                <w:sz w:val="24"/>
                <w:szCs w:val="24"/>
              </w:rPr>
              <w:t xml:space="preserve"> </w:t>
            </w:r>
            <w:r w:rsidRPr="00CF7BB7">
              <w:rPr>
                <w:rFonts w:ascii="Times New Roman" w:eastAsia="Times New Roman" w:hAnsi="Times New Roman" w:cs="Times New Roman"/>
                <w:color w:val="000000"/>
                <w:sz w:val="24"/>
                <w:szCs w:val="24"/>
              </w:rPr>
              <w:t xml:space="preserve"> </w:t>
            </w:r>
          </w:p>
          <w:p w14:paraId="5B5A5890" w14:textId="77777777" w:rsidR="00D129B3" w:rsidRPr="00CF7BB7" w:rsidRDefault="00D129B3" w:rsidP="00D129B3">
            <w:pPr>
              <w:pStyle w:val="ListParagraph"/>
              <w:numPr>
                <w:ilvl w:val="0"/>
                <w:numId w:val="1"/>
              </w:numPr>
              <w:spacing w:after="0" w:line="240" w:lineRule="auto"/>
              <w:ind w:left="339"/>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Coronary heart disease, based on an answer of "yes" to the question "Has a doctor or other health professional ever told you that you had coronary heart disease?"</w:t>
            </w:r>
          </w:p>
          <w:p w14:paraId="340479B5" w14:textId="77777777" w:rsidR="00D129B3" w:rsidRPr="00CF7BB7" w:rsidRDefault="00D129B3" w:rsidP="00D129B3">
            <w:pPr>
              <w:pStyle w:val="ListParagraph"/>
              <w:numPr>
                <w:ilvl w:val="0"/>
                <w:numId w:val="1"/>
              </w:numPr>
              <w:spacing w:after="0" w:line="240" w:lineRule="auto"/>
              <w:ind w:left="339"/>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Acute myocardial infarction (heart attack), based on an answer of "yes" to the question "Has a doctor or other health professional ever told you that you had a heart attack (also called myocardial infarction)?"</w:t>
            </w:r>
          </w:p>
          <w:p w14:paraId="2ABDF616" w14:textId="77777777" w:rsidR="00D129B3" w:rsidRPr="00CF7BB7" w:rsidRDefault="00D129B3" w:rsidP="00D129B3">
            <w:pPr>
              <w:pStyle w:val="ListParagraph"/>
              <w:numPr>
                <w:ilvl w:val="0"/>
                <w:numId w:val="1"/>
              </w:numPr>
              <w:spacing w:after="0" w:line="240" w:lineRule="auto"/>
              <w:ind w:left="339"/>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Stroke, based on an answer of "yes" to the question "Has a doctor or other health professional ever told you that you had a stroke?"</w:t>
            </w:r>
          </w:p>
        </w:tc>
      </w:tr>
      <w:tr w:rsidR="00D129B3" w:rsidRPr="00CF7BB7" w14:paraId="663761B0" w14:textId="77777777" w:rsidTr="00CB4ACE">
        <w:tc>
          <w:tcPr>
            <w:tcW w:w="2875" w:type="dxa"/>
          </w:tcPr>
          <w:p w14:paraId="2D047749" w14:textId="77777777" w:rsidR="00D129B3" w:rsidRPr="00CF7BB7" w:rsidRDefault="00D129B3" w:rsidP="00CB4ACE">
            <w:pPr>
              <w:ind w:right="144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Severe h</w:t>
            </w:r>
            <w:r w:rsidRPr="00CF7BB7">
              <w:rPr>
                <w:rFonts w:ascii="Times New Roman" w:eastAsia="Times New Roman" w:hAnsi="Times New Roman" w:cs="Times New Roman"/>
                <w:color w:val="000000"/>
                <w:sz w:val="24"/>
                <w:szCs w:val="24"/>
              </w:rPr>
              <w:t>ypercholesterolemia</w:t>
            </w:r>
          </w:p>
        </w:tc>
        <w:tc>
          <w:tcPr>
            <w:tcW w:w="6464" w:type="dxa"/>
          </w:tcPr>
          <w:p w14:paraId="1F60F8D9" w14:textId="77777777" w:rsidR="00D129B3" w:rsidRPr="00CF7BB7" w:rsidRDefault="00D129B3" w:rsidP="00D129B3">
            <w:pPr>
              <w:pStyle w:val="ListParagraph"/>
              <w:numPr>
                <w:ilvl w:val="0"/>
                <w:numId w:val="1"/>
              </w:numPr>
              <w:spacing w:after="0" w:line="240" w:lineRule="auto"/>
              <w:ind w:left="316" w:right="1440"/>
              <w:rPr>
                <w:rFonts w:ascii="Times New Roman" w:eastAsia="Times New Roman" w:hAnsi="Times New Roman" w:cs="Times New Roman"/>
                <w:b/>
                <w:bCs/>
                <w:color w:val="000000"/>
                <w:sz w:val="24"/>
                <w:szCs w:val="24"/>
              </w:rPr>
            </w:pPr>
            <w:r w:rsidRPr="00CF7BB7">
              <w:rPr>
                <w:rFonts w:ascii="Times New Roman" w:eastAsia="Times New Roman" w:hAnsi="Times New Roman" w:cs="Times New Roman"/>
                <w:color w:val="000000"/>
                <w:sz w:val="24"/>
                <w:szCs w:val="24"/>
              </w:rPr>
              <w:t>Fasting LDL-c ≥190 mg/dL</w:t>
            </w:r>
          </w:p>
        </w:tc>
      </w:tr>
      <w:tr w:rsidR="00D129B3" w:rsidRPr="00CF7BB7" w14:paraId="539F8412" w14:textId="77777777" w:rsidTr="00CB4ACE">
        <w:tc>
          <w:tcPr>
            <w:tcW w:w="2875" w:type="dxa"/>
          </w:tcPr>
          <w:p w14:paraId="75AB9A5D" w14:textId="77777777" w:rsidR="00D129B3" w:rsidRPr="00CF7BB7" w:rsidRDefault="00D129B3" w:rsidP="00CB4ACE">
            <w:pPr>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Diabetes</w:t>
            </w:r>
          </w:p>
          <w:p w14:paraId="534DE489" w14:textId="77777777" w:rsidR="00D129B3" w:rsidRPr="00CF7BB7" w:rsidRDefault="00D129B3" w:rsidP="00CB4ACE">
            <w:pPr>
              <w:ind w:left="540"/>
              <w:rPr>
                <w:rFonts w:ascii="Times New Roman" w:eastAsia="Times New Roman" w:hAnsi="Times New Roman" w:cs="Times New Roman"/>
                <w:b/>
                <w:bCs/>
                <w:color w:val="000000"/>
                <w:sz w:val="24"/>
                <w:szCs w:val="24"/>
              </w:rPr>
            </w:pPr>
          </w:p>
        </w:tc>
        <w:tc>
          <w:tcPr>
            <w:tcW w:w="6464" w:type="dxa"/>
          </w:tcPr>
          <w:p w14:paraId="6E453442" w14:textId="77777777" w:rsidR="00D129B3" w:rsidRPr="00CF7BB7" w:rsidRDefault="00D129B3" w:rsidP="00D129B3">
            <w:pPr>
              <w:pStyle w:val="ListParagraph"/>
              <w:numPr>
                <w:ilvl w:val="0"/>
                <w:numId w:val="1"/>
              </w:numPr>
              <w:spacing w:after="0" w:line="240" w:lineRule="auto"/>
              <w:ind w:left="316"/>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 xml:space="preserve">Includes diagnosed and undiagnosed diabetes. </w:t>
            </w:r>
          </w:p>
          <w:p w14:paraId="6FF2B5AB" w14:textId="77777777" w:rsidR="00D129B3" w:rsidRPr="00CF7BB7" w:rsidRDefault="00D129B3" w:rsidP="00D129B3">
            <w:pPr>
              <w:pStyle w:val="ListParagraph"/>
              <w:numPr>
                <w:ilvl w:val="0"/>
                <w:numId w:val="1"/>
              </w:numPr>
              <w:spacing w:after="0" w:line="240" w:lineRule="auto"/>
              <w:ind w:left="316"/>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 xml:space="preserve">Diagnosed diabetes is defined as an answer of "yes" to the question "Other than during pregnancy, have you ever been told by a doctor or health professional that you have diabetes or sugar diabetes?" or an answer of "yes" to the questions "Are you now taking insulin?" or "Are you now taking diabetic pills to lower your blood sugar?" </w:t>
            </w:r>
          </w:p>
          <w:p w14:paraId="4D305E53" w14:textId="77777777" w:rsidR="00D129B3" w:rsidRPr="00CF7BB7" w:rsidRDefault="00D129B3" w:rsidP="00D129B3">
            <w:pPr>
              <w:pStyle w:val="ListParagraph"/>
              <w:numPr>
                <w:ilvl w:val="0"/>
                <w:numId w:val="1"/>
              </w:numPr>
              <w:spacing w:after="0" w:line="240" w:lineRule="auto"/>
              <w:ind w:left="316"/>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Undiagnosed diabetes is defined as a fasting plasma glucose ≥126 mg/dL or an HbA1c ≥6.5%.</w:t>
            </w:r>
            <w:r>
              <w:rPr>
                <w:rFonts w:ascii="Times New Roman" w:eastAsia="Times New Roman" w:hAnsi="Times New Roman" w:cs="Times New Roman"/>
                <w:color w:val="000000"/>
                <w:sz w:val="24"/>
                <w:szCs w:val="24"/>
              </w:rPr>
              <w:t xml:space="preserve"> Fasting plasma glucose was calibrated to the </w:t>
            </w:r>
            <w:r w:rsidRPr="0009553F">
              <w:rPr>
                <w:rFonts w:ascii="Times New Roman" w:eastAsia="Times New Roman" w:hAnsi="Times New Roman" w:cs="Times New Roman"/>
                <w:color w:val="000000"/>
                <w:sz w:val="24"/>
                <w:szCs w:val="24"/>
              </w:rPr>
              <w:t>Cobas C311 analyzer used in the 2015-2016 and 2017-2018 cycles.</w:t>
            </w:r>
          </w:p>
        </w:tc>
      </w:tr>
      <w:tr w:rsidR="00D129B3" w:rsidRPr="00CF7BB7" w14:paraId="77320148" w14:textId="77777777" w:rsidTr="00CB4ACE">
        <w:tc>
          <w:tcPr>
            <w:tcW w:w="2875" w:type="dxa"/>
          </w:tcPr>
          <w:p w14:paraId="299A924A" w14:textId="77777777" w:rsidR="00D129B3" w:rsidRPr="00CF7BB7" w:rsidRDefault="00D129B3" w:rsidP="00CB4ACE">
            <w:pPr>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 xml:space="preserve">ASCVD risk enhancers </w:t>
            </w:r>
            <w:r>
              <w:rPr>
                <w:rFonts w:ascii="Times New Roman" w:eastAsia="Times New Roman" w:hAnsi="Times New Roman" w:cs="Times New Roman"/>
                <w:color w:val="000000"/>
                <w:sz w:val="24"/>
                <w:szCs w:val="24"/>
              </w:rPr>
              <w:t>(</w:t>
            </w:r>
            <w:r w:rsidRPr="00CF7BB7">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z w:val="24"/>
                <w:szCs w:val="24"/>
              </w:rPr>
              <w:t xml:space="preserve"> one or more of the following)</w:t>
            </w:r>
            <w:r w:rsidRPr="00CF7BB7">
              <w:rPr>
                <w:rFonts w:ascii="Times New Roman" w:eastAsia="Times New Roman" w:hAnsi="Times New Roman" w:cs="Times New Roman"/>
                <w:color w:val="000000"/>
                <w:sz w:val="24"/>
                <w:szCs w:val="24"/>
              </w:rPr>
              <w:t>:</w:t>
            </w:r>
          </w:p>
          <w:p w14:paraId="29EADC01" w14:textId="77777777" w:rsidR="00D129B3" w:rsidRPr="00CF7BB7" w:rsidRDefault="00D129B3" w:rsidP="00CB4ACE">
            <w:pPr>
              <w:ind w:firstLineChars="720" w:firstLine="1735"/>
              <w:rPr>
                <w:rFonts w:ascii="Times New Roman" w:eastAsia="Times New Roman" w:hAnsi="Times New Roman" w:cs="Times New Roman"/>
                <w:b/>
                <w:bCs/>
                <w:color w:val="000000"/>
                <w:sz w:val="24"/>
                <w:szCs w:val="24"/>
              </w:rPr>
            </w:pPr>
          </w:p>
        </w:tc>
        <w:tc>
          <w:tcPr>
            <w:tcW w:w="6464" w:type="dxa"/>
          </w:tcPr>
          <w:p w14:paraId="3206D1E7" w14:textId="77777777" w:rsidR="00D129B3" w:rsidRPr="00CF7BB7" w:rsidRDefault="00D129B3" w:rsidP="00D129B3">
            <w:pPr>
              <w:pStyle w:val="ListParagraph"/>
              <w:numPr>
                <w:ilvl w:val="0"/>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Primary hypercholesterolemia:</w:t>
            </w:r>
          </w:p>
          <w:p w14:paraId="4AAF65F5" w14:textId="77777777" w:rsidR="00D129B3" w:rsidRPr="00CF7BB7" w:rsidRDefault="00D129B3" w:rsidP="00D129B3">
            <w:pPr>
              <w:pStyle w:val="ListParagraph"/>
              <w:numPr>
                <w:ilvl w:val="0"/>
                <w:numId w:val="3"/>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LDL-c 160-189 mg/dL</w:t>
            </w:r>
          </w:p>
          <w:p w14:paraId="45E73614" w14:textId="77777777" w:rsidR="00D129B3" w:rsidRPr="00CF7BB7" w:rsidRDefault="00D129B3" w:rsidP="00D129B3">
            <w:pPr>
              <w:pStyle w:val="ListParagraph"/>
              <w:numPr>
                <w:ilvl w:val="0"/>
                <w:numId w:val="3"/>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non-HDL-c 190-219 mg/dL</w:t>
            </w:r>
          </w:p>
          <w:p w14:paraId="52128172" w14:textId="77777777" w:rsidR="00D129B3" w:rsidRPr="00CF7BB7" w:rsidRDefault="00D129B3" w:rsidP="00D129B3">
            <w:pPr>
              <w:pStyle w:val="ListParagraph"/>
              <w:numPr>
                <w:ilvl w:val="0"/>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Metabolic Syndrome (≥3 of the following 5 conditions)</w:t>
            </w:r>
          </w:p>
          <w:p w14:paraId="2AFCC6A3" w14:textId="77777777" w:rsidR="00D129B3" w:rsidRPr="00CF7BB7" w:rsidRDefault="00D129B3" w:rsidP="00D129B3">
            <w:pPr>
              <w:pStyle w:val="ListParagraph"/>
              <w:numPr>
                <w:ilvl w:val="0"/>
                <w:numId w:val="4"/>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Waist circumference (Men: ≥102 cm; Women: ≥88 cm)</w:t>
            </w:r>
          </w:p>
          <w:p w14:paraId="3E5D14FC" w14:textId="77777777" w:rsidR="00D129B3" w:rsidRPr="00CF7BB7" w:rsidRDefault="00D129B3" w:rsidP="00D129B3">
            <w:pPr>
              <w:pStyle w:val="ListParagraph"/>
              <w:numPr>
                <w:ilvl w:val="0"/>
                <w:numId w:val="4"/>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Serum Triglycerides (≥150 mg/dL)</w:t>
            </w:r>
          </w:p>
          <w:p w14:paraId="13FAE31D" w14:textId="77777777" w:rsidR="00D129B3" w:rsidRPr="00CF7BB7" w:rsidRDefault="00D129B3" w:rsidP="00D129B3">
            <w:pPr>
              <w:pStyle w:val="ListParagraph"/>
              <w:numPr>
                <w:ilvl w:val="0"/>
                <w:numId w:val="4"/>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Low HDL-c (Men: &lt;40 mg/dL; Women: &lt;50 mg/dL)</w:t>
            </w:r>
          </w:p>
          <w:p w14:paraId="1AE781AA" w14:textId="77777777" w:rsidR="00D129B3" w:rsidRPr="00CF7BB7" w:rsidRDefault="00D129B3" w:rsidP="00D129B3">
            <w:pPr>
              <w:pStyle w:val="ListParagraph"/>
              <w:numPr>
                <w:ilvl w:val="0"/>
                <w:numId w:val="4"/>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Hypertension (Systolic blood pressure (BP) ≥140 mmHg, Diastolic BP ≥90 mmHg, or BP-lowering medication use)</w:t>
            </w:r>
          </w:p>
          <w:p w14:paraId="3E661E17" w14:textId="77777777" w:rsidR="00D129B3" w:rsidRPr="00CF7BB7" w:rsidRDefault="00D129B3" w:rsidP="00D129B3">
            <w:pPr>
              <w:pStyle w:val="ListParagraph"/>
              <w:numPr>
                <w:ilvl w:val="0"/>
                <w:numId w:val="4"/>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Fasting Plasma Glucose (≥100 mg/dL or medication)</w:t>
            </w:r>
          </w:p>
          <w:p w14:paraId="6E9D2F32" w14:textId="77777777" w:rsidR="00D129B3" w:rsidRPr="00CF7BB7" w:rsidRDefault="00D129B3" w:rsidP="00D129B3">
            <w:pPr>
              <w:pStyle w:val="ListParagraph"/>
              <w:numPr>
                <w:ilvl w:val="0"/>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Chronic Kidney Disease (CKD), defined as either of the following:</w:t>
            </w:r>
          </w:p>
          <w:p w14:paraId="1F287F03" w14:textId="77777777" w:rsidR="00D129B3" w:rsidRPr="00CF7BB7" w:rsidRDefault="00D129B3" w:rsidP="00D129B3">
            <w:pPr>
              <w:pStyle w:val="ListParagraph"/>
              <w:numPr>
                <w:ilvl w:val="3"/>
                <w:numId w:val="5"/>
              </w:numPr>
              <w:spacing w:after="0" w:line="240" w:lineRule="auto"/>
              <w:ind w:left="70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Estimated Glomerular Filtration rate (eGFR) &lt;60 mL/min/1.73m2 (eGFR calculated using CKD-Epi equations.</w:t>
            </w:r>
            <w:r>
              <w:rPr>
                <w:rFonts w:ascii="Times New Roman" w:eastAsia="Times New Roman" w:hAnsi="Times New Roman" w:cs="Times New Roman"/>
                <w:color w:val="000000"/>
                <w:sz w:val="24"/>
                <w:szCs w:val="24"/>
                <w:vertAlign w:val="superscript"/>
              </w:rPr>
              <w:t>1</w:t>
            </w:r>
          </w:p>
          <w:p w14:paraId="6F9D54A7" w14:textId="77777777" w:rsidR="00D129B3" w:rsidRPr="00CF7BB7" w:rsidRDefault="00D129B3" w:rsidP="00D129B3">
            <w:pPr>
              <w:pStyle w:val="ListParagraph"/>
              <w:numPr>
                <w:ilvl w:val="3"/>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Albuminuria: urinary Albumin/Creatinine Ratio &gt;30 mg/g</w:t>
            </w:r>
          </w:p>
          <w:p w14:paraId="01C57E36" w14:textId="77777777" w:rsidR="00D129B3" w:rsidRPr="00CF7BB7" w:rsidRDefault="00D129B3" w:rsidP="00D129B3">
            <w:pPr>
              <w:pStyle w:val="ListParagraph"/>
              <w:numPr>
                <w:ilvl w:val="0"/>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lastRenderedPageBreak/>
              <w:t>Premature menopause (&lt;40y), defined as an answer of 20-39 years to the question "About how old were you when you had your last menstrual period?"</w:t>
            </w:r>
          </w:p>
          <w:p w14:paraId="108794B1" w14:textId="77777777" w:rsidR="00D129B3" w:rsidRPr="00CF7BB7" w:rsidRDefault="00D129B3" w:rsidP="00D129B3">
            <w:pPr>
              <w:pStyle w:val="ListParagraph"/>
              <w:numPr>
                <w:ilvl w:val="0"/>
                <w:numId w:val="2"/>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Chronic inflammatory disorders:</w:t>
            </w:r>
          </w:p>
          <w:p w14:paraId="3C601130" w14:textId="77777777" w:rsidR="00D129B3" w:rsidRPr="00CF7BB7" w:rsidRDefault="00D129B3" w:rsidP="00D129B3">
            <w:pPr>
              <w:pStyle w:val="ListParagraph"/>
              <w:numPr>
                <w:ilvl w:val="3"/>
                <w:numId w:val="5"/>
              </w:numPr>
              <w:spacing w:after="0" w:line="240" w:lineRule="auto"/>
              <w:ind w:left="70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Rheumatoid arthritis, defined as an answer of "yes" to the question "Has a doctor or other health professional ever told you that you had arthritis?" and an answer of "Rheumatoid arthritis" to the question "Which type of arthritis was it?"</w:t>
            </w:r>
          </w:p>
          <w:p w14:paraId="4C802279" w14:textId="77777777" w:rsidR="00D129B3" w:rsidRPr="00CF7BB7" w:rsidRDefault="00D129B3" w:rsidP="00D129B3">
            <w:pPr>
              <w:pStyle w:val="ListParagraph"/>
              <w:numPr>
                <w:ilvl w:val="0"/>
                <w:numId w:val="6"/>
              </w:numPr>
              <w:spacing w:after="0" w:line="240" w:lineRule="auto"/>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HIV, defined by positive HIV antibody test</w:t>
            </w:r>
          </w:p>
          <w:p w14:paraId="6AB75319" w14:textId="77777777" w:rsidR="00D129B3" w:rsidRPr="00CF7BB7" w:rsidRDefault="00D129B3" w:rsidP="00D129B3">
            <w:pPr>
              <w:pStyle w:val="ListParagraph"/>
              <w:numPr>
                <w:ilvl w:val="2"/>
                <w:numId w:val="7"/>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Persistent Hypertriglyceridemia (≥175 mg/dL and taking Fibrates or Niacin ≥3 months)</w:t>
            </w:r>
          </w:p>
          <w:p w14:paraId="15FBC971" w14:textId="77777777" w:rsidR="00D129B3" w:rsidRPr="00CF7BB7" w:rsidRDefault="00D129B3" w:rsidP="00D129B3">
            <w:pPr>
              <w:pStyle w:val="ListParagraph"/>
              <w:numPr>
                <w:ilvl w:val="2"/>
                <w:numId w:val="7"/>
              </w:numPr>
              <w:spacing w:after="0" w:line="240" w:lineRule="auto"/>
              <w:ind w:left="348"/>
              <w:rPr>
                <w:rFonts w:ascii="Times New Roman" w:eastAsia="Times New Roman" w:hAnsi="Times New Roman" w:cs="Times New Roman"/>
                <w:color w:val="000000"/>
                <w:sz w:val="24"/>
                <w:szCs w:val="24"/>
              </w:rPr>
            </w:pPr>
            <w:r w:rsidRPr="00CF7BB7">
              <w:rPr>
                <w:rFonts w:ascii="Times New Roman" w:eastAsia="Times New Roman" w:hAnsi="Times New Roman" w:cs="Times New Roman"/>
                <w:color w:val="000000"/>
                <w:sz w:val="24"/>
                <w:szCs w:val="24"/>
              </w:rPr>
              <w:t>Apolipoprotein B ≥130 mg/dL</w:t>
            </w:r>
          </w:p>
          <w:p w14:paraId="776BA1FB" w14:textId="77777777" w:rsidR="00D129B3" w:rsidRPr="00CF7BB7" w:rsidRDefault="00D129B3" w:rsidP="00CB4ACE">
            <w:pPr>
              <w:ind w:right="1440"/>
              <w:rPr>
                <w:rFonts w:ascii="Times New Roman" w:eastAsia="Times New Roman" w:hAnsi="Times New Roman" w:cs="Times New Roman"/>
                <w:b/>
                <w:bCs/>
                <w:color w:val="000000"/>
                <w:sz w:val="24"/>
                <w:szCs w:val="24"/>
              </w:rPr>
            </w:pPr>
          </w:p>
        </w:tc>
      </w:tr>
      <w:tr w:rsidR="00D129B3" w:rsidRPr="00CF7BB7" w14:paraId="208643CD" w14:textId="77777777" w:rsidTr="00CB4ACE">
        <w:tc>
          <w:tcPr>
            <w:tcW w:w="9350" w:type="dxa"/>
            <w:gridSpan w:val="2"/>
          </w:tcPr>
          <w:p w14:paraId="546824F6" w14:textId="77777777" w:rsidR="00D129B3" w:rsidRPr="00CF7BB7" w:rsidRDefault="00D129B3" w:rsidP="00CB4ACE">
            <w:pPr>
              <w:ind w:right="1440"/>
              <w:rPr>
                <w:rFonts w:ascii="Times New Roman" w:eastAsia="Times New Roman" w:hAnsi="Times New Roman" w:cs="Times New Roman"/>
                <w:b/>
                <w:bCs/>
                <w:color w:val="000000"/>
                <w:sz w:val="24"/>
                <w:szCs w:val="24"/>
              </w:rPr>
            </w:pPr>
            <w:r w:rsidRPr="00CF7BB7">
              <w:rPr>
                <w:rFonts w:ascii="Times New Roman" w:eastAsia="Times New Roman" w:hAnsi="Times New Roman" w:cs="Times New Roman"/>
                <w:b/>
                <w:bCs/>
                <w:color w:val="000000"/>
                <w:sz w:val="24"/>
                <w:szCs w:val="24"/>
              </w:rPr>
              <w:lastRenderedPageBreak/>
              <w:t xml:space="preserve">Abbreviations: </w:t>
            </w:r>
            <w:r w:rsidRPr="00CF7BB7">
              <w:rPr>
                <w:rFonts w:ascii="Times New Roman" w:eastAsia="Times New Roman" w:hAnsi="Times New Roman" w:cs="Times New Roman"/>
                <w:color w:val="000000"/>
                <w:sz w:val="24"/>
                <w:szCs w:val="24"/>
              </w:rPr>
              <w:t>ASCVD, Atherosclerotic Cardiovascular Disease;</w:t>
            </w:r>
            <w:r>
              <w:rPr>
                <w:rFonts w:ascii="Times New Roman" w:eastAsia="Times New Roman" w:hAnsi="Times New Roman" w:cs="Times New Roman"/>
                <w:color w:val="000000"/>
                <w:sz w:val="24"/>
                <w:szCs w:val="24"/>
              </w:rPr>
              <w:t xml:space="preserve"> BP, Blood Pressure; </w:t>
            </w:r>
            <w:r w:rsidRPr="00CF7BB7">
              <w:rPr>
                <w:rFonts w:ascii="Times New Roman" w:eastAsia="Times New Roman" w:hAnsi="Times New Roman" w:cs="Times New Roman"/>
                <w:color w:val="000000"/>
                <w:sz w:val="24"/>
                <w:szCs w:val="24"/>
              </w:rPr>
              <w:t>LDL-c, low density lipoprotein cholesterol;</w:t>
            </w:r>
            <w:r w:rsidRPr="00CF7BB7">
              <w:rPr>
                <w:rFonts w:ascii="Times New Roman" w:eastAsia="Times New Roman" w:hAnsi="Times New Roman" w:cs="Times New Roman"/>
                <w:b/>
                <w:bCs/>
                <w:color w:val="000000"/>
                <w:sz w:val="24"/>
                <w:szCs w:val="24"/>
              </w:rPr>
              <w:t xml:space="preserve"> </w:t>
            </w:r>
            <w:r w:rsidRPr="00CF7BB7">
              <w:rPr>
                <w:rFonts w:ascii="Times New Roman" w:eastAsia="Times New Roman" w:hAnsi="Times New Roman" w:cs="Times New Roman"/>
                <w:color w:val="000000"/>
                <w:sz w:val="24"/>
                <w:szCs w:val="24"/>
              </w:rPr>
              <w:t>HDL-c, high density lipoprotein cholesterol;</w:t>
            </w:r>
            <w:r w:rsidRPr="00CF7BB7">
              <w:rPr>
                <w:rFonts w:ascii="Times New Roman" w:eastAsia="Times New Roman" w:hAnsi="Times New Roman" w:cs="Times New Roman"/>
                <w:b/>
                <w:bCs/>
                <w:color w:val="000000"/>
                <w:sz w:val="24"/>
                <w:szCs w:val="24"/>
              </w:rPr>
              <w:t xml:space="preserve"> </w:t>
            </w:r>
          </w:p>
          <w:p w14:paraId="3A5ECA4F" w14:textId="77777777" w:rsidR="00D129B3" w:rsidRPr="009A7ABF" w:rsidRDefault="00D129B3" w:rsidP="00D129B3">
            <w:pPr>
              <w:pStyle w:val="ListParagraph"/>
              <w:numPr>
                <w:ilvl w:val="0"/>
                <w:numId w:val="8"/>
              </w:numPr>
              <w:spacing w:after="0" w:line="240" w:lineRule="auto"/>
              <w:ind w:right="1440"/>
              <w:rPr>
                <w:rFonts w:ascii="Times New Roman" w:eastAsia="Times New Roman" w:hAnsi="Times New Roman" w:cs="Times New Roman"/>
                <w:b/>
                <w:bCs/>
                <w:color w:val="000000"/>
                <w:sz w:val="24"/>
                <w:szCs w:val="24"/>
              </w:rPr>
            </w:pPr>
            <w:r w:rsidRPr="00CF7BB7">
              <w:rPr>
                <w:rFonts w:ascii="Times New Roman" w:eastAsia="Times New Roman" w:hAnsi="Times New Roman" w:cs="Times New Roman"/>
                <w:color w:val="000000"/>
                <w:sz w:val="24"/>
                <w:szCs w:val="24"/>
              </w:rPr>
              <w:t>CKD-Epi Equations from: Levey AS, Becker C, Inker LA. Glomerular filtration rate and albuminuria for detection and staging of acute and chronic kidney disease in adults: a systematic review. JAMA. 2015;313(8):837-846. doi:10.1001/jama.2015.0602)</w:t>
            </w:r>
          </w:p>
          <w:p w14:paraId="6184037A" w14:textId="77777777" w:rsidR="00D129B3" w:rsidRPr="00CF7BB7" w:rsidRDefault="00D129B3" w:rsidP="00CB4ACE">
            <w:pPr>
              <w:pStyle w:val="ListParagraph"/>
              <w:ind w:right="1440"/>
              <w:rPr>
                <w:rFonts w:ascii="Times New Roman" w:eastAsia="Times New Roman" w:hAnsi="Times New Roman" w:cs="Times New Roman"/>
                <w:b/>
                <w:bCs/>
                <w:color w:val="000000"/>
                <w:sz w:val="24"/>
                <w:szCs w:val="24"/>
              </w:rPr>
            </w:pPr>
          </w:p>
        </w:tc>
      </w:tr>
    </w:tbl>
    <w:p w14:paraId="1F03A7E7" w14:textId="77777777" w:rsidR="00D129B3" w:rsidRDefault="00D129B3" w:rsidP="00324E8B">
      <w:pPr>
        <w:spacing w:after="0" w:line="240" w:lineRule="auto"/>
        <w:ind w:right="1440"/>
        <w:rPr>
          <w:rFonts w:ascii="Times New Roman" w:eastAsia="Times New Roman" w:hAnsi="Times New Roman" w:cs="Times New Roman"/>
          <w:color w:val="000000"/>
          <w:sz w:val="20"/>
          <w:szCs w:val="20"/>
        </w:rPr>
        <w:sectPr w:rsidR="00D129B3" w:rsidSect="00A11C67">
          <w:pgSz w:w="12240" w:h="15840"/>
          <w:pgMar w:top="720" w:right="720" w:bottom="720" w:left="720" w:header="720" w:footer="720" w:gutter="0"/>
          <w:cols w:space="720"/>
          <w:docGrid w:linePitch="360"/>
        </w:sectPr>
      </w:pPr>
    </w:p>
    <w:p w14:paraId="6CA3D161" w14:textId="77777777" w:rsidR="00D129B3" w:rsidRPr="00CF7BB7" w:rsidRDefault="00D129B3" w:rsidP="00D129B3">
      <w:pPr>
        <w:ind w:right="1440"/>
        <w:rPr>
          <w:rFonts w:ascii="Times New Roman" w:hAnsi="Times New Roman" w:cs="Times New Roman"/>
          <w:sz w:val="24"/>
          <w:szCs w:val="24"/>
        </w:rPr>
      </w:pPr>
      <w:r w:rsidRPr="00CF7BB7">
        <w:rPr>
          <w:rFonts w:ascii="Times New Roman" w:eastAsia="Times New Roman" w:hAnsi="Times New Roman" w:cs="Times New Roman"/>
          <w:b/>
          <w:bCs/>
          <w:color w:val="000000"/>
          <w:sz w:val="24"/>
          <w:szCs w:val="24"/>
        </w:rPr>
        <w:lastRenderedPageBreak/>
        <w:t>Supplemental Table 2. 2013 and 2018 Cholesterol Guidelines Risk Enhancing Factors, High-Risk Conditions, and Risk Enhancing Factor* availability in NHANES</w:t>
      </w:r>
      <w:r w:rsidRPr="00CF7BB7">
        <w:rPr>
          <w:rFonts w:ascii="Times New Roman" w:hAnsi="Times New Roman" w:cs="Times New Roman"/>
          <w:sz w:val="24"/>
          <w:szCs w:val="24"/>
        </w:rPr>
        <w:t xml:space="preserve"> </w:t>
      </w:r>
      <w:r>
        <w:rPr>
          <w:rFonts w:ascii="Times New Roman" w:hAnsi="Times New Roman" w:cs="Times New Roman"/>
          <w:sz w:val="24"/>
          <w:szCs w:val="24"/>
        </w:rPr>
        <w:t>(2011-2018)</w:t>
      </w:r>
      <w:r w:rsidRPr="00332B9F">
        <w:rPr>
          <w:rFonts w:ascii="Times New Roman" w:hAnsi="Times New Roman" w:cs="Times New Roman"/>
          <w:sz w:val="24"/>
          <w:szCs w:val="24"/>
        </w:rPr>
        <w:fldChar w:fldCharType="begin"/>
      </w:r>
      <w:r w:rsidRPr="00CF7BB7">
        <w:rPr>
          <w:rFonts w:ascii="Times New Roman" w:hAnsi="Times New Roman" w:cs="Times New Roman"/>
          <w:sz w:val="24"/>
          <w:szCs w:val="24"/>
        </w:rPr>
        <w:instrText xml:space="preserve"> LINK Excel.Sheet.12 "\\\\cdc.gov\\private\\L304\\ckg2\\SAS V8\\nhanes4\\CHOL\\AHA2013Guidelines\\AHA_2018_CholGL_Update\\AHA_ACC_CholGLs_Comparison_NHANES_2011_2016_01072020.xlsx" "Table_S1!R1C1:R74C4" \a \f 4 \h </w:instrText>
      </w:r>
      <w:r w:rsidRPr="009A7ABF">
        <w:rPr>
          <w:rFonts w:ascii="Times New Roman" w:hAnsi="Times New Roman" w:cs="Times New Roman"/>
          <w:sz w:val="24"/>
          <w:szCs w:val="24"/>
        </w:rPr>
        <w:instrText xml:space="preserve"> \* MERGEFORMAT </w:instrText>
      </w:r>
      <w:r w:rsidRPr="00332B9F">
        <w:rPr>
          <w:rFonts w:ascii="Times New Roman" w:hAnsi="Times New Roman" w:cs="Times New Roman"/>
          <w:sz w:val="24"/>
          <w:szCs w:val="24"/>
        </w:rPr>
        <w:fldChar w:fldCharType="separate"/>
      </w:r>
    </w:p>
    <w:tbl>
      <w:tblPr>
        <w:tblpPr w:leftFromText="180" w:rightFromText="180" w:vertAnchor="text" w:tblpY="1"/>
        <w:tblOverlap w:val="never"/>
        <w:tblW w:w="13874" w:type="dxa"/>
        <w:tblLook w:val="04A0" w:firstRow="1" w:lastRow="0" w:firstColumn="1" w:lastColumn="0" w:noHBand="0" w:noVBand="1"/>
      </w:tblPr>
      <w:tblGrid>
        <w:gridCol w:w="13874"/>
      </w:tblGrid>
      <w:tr w:rsidR="00D129B3" w:rsidRPr="00CF7BB7" w:rsidDel="003E5C1C" w14:paraId="4B6D708C" w14:textId="77777777" w:rsidTr="00CB4ACE">
        <w:trPr>
          <w:trHeight w:val="300"/>
        </w:trPr>
        <w:tc>
          <w:tcPr>
            <w:tcW w:w="13874" w:type="dxa"/>
            <w:tcBorders>
              <w:top w:val="single" w:sz="4" w:space="0" w:color="auto"/>
              <w:left w:val="nil"/>
              <w:bottom w:val="nil"/>
              <w:right w:val="nil"/>
            </w:tcBorders>
            <w:shd w:val="clear" w:color="auto" w:fill="auto"/>
            <w:noWrap/>
            <w:vAlign w:val="bottom"/>
          </w:tcPr>
          <w:tbl>
            <w:tblPr>
              <w:tblW w:w="13400" w:type="dxa"/>
              <w:tblLook w:val="04A0" w:firstRow="1" w:lastRow="0" w:firstColumn="1" w:lastColumn="0" w:noHBand="0" w:noVBand="1"/>
            </w:tblPr>
            <w:tblGrid>
              <w:gridCol w:w="5740"/>
              <w:gridCol w:w="990"/>
              <w:gridCol w:w="1320"/>
              <w:gridCol w:w="5420"/>
            </w:tblGrid>
            <w:tr w:rsidR="00D129B3" w:rsidRPr="003E5C1C" w14:paraId="38F36CB2" w14:textId="77777777" w:rsidTr="00CB4ACE">
              <w:trPr>
                <w:trHeight w:val="555"/>
              </w:trPr>
              <w:tc>
                <w:tcPr>
                  <w:tcW w:w="5740" w:type="dxa"/>
                  <w:tcBorders>
                    <w:top w:val="nil"/>
                    <w:left w:val="single" w:sz="8" w:space="0" w:color="auto"/>
                    <w:bottom w:val="nil"/>
                    <w:right w:val="nil"/>
                  </w:tcBorders>
                  <w:shd w:val="clear" w:color="000000" w:fill="808080"/>
                  <w:vAlign w:val="bottom"/>
                  <w:hideMark/>
                </w:tcPr>
                <w:p w14:paraId="63A461F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Patient Management Group</w:t>
                  </w:r>
                </w:p>
              </w:tc>
              <w:tc>
                <w:tcPr>
                  <w:tcW w:w="920" w:type="dxa"/>
                  <w:tcBorders>
                    <w:top w:val="nil"/>
                    <w:left w:val="nil"/>
                    <w:bottom w:val="nil"/>
                    <w:right w:val="nil"/>
                  </w:tcBorders>
                  <w:shd w:val="clear" w:color="000000" w:fill="BFBFBF"/>
                  <w:vAlign w:val="bottom"/>
                  <w:hideMark/>
                </w:tcPr>
                <w:p w14:paraId="344FE22E"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b/>
                      <w:bCs/>
                      <w:color w:val="000000"/>
                    </w:rPr>
                  </w:pPr>
                  <w:r w:rsidRPr="003E5C1C">
                    <w:rPr>
                      <w:rFonts w:ascii="Calibri" w:eastAsia="Times New Roman" w:hAnsi="Calibri" w:cs="Calibri"/>
                      <w:b/>
                      <w:bCs/>
                      <w:color w:val="000000"/>
                    </w:rPr>
                    <w:t>NHANES</w:t>
                  </w:r>
                </w:p>
              </w:tc>
              <w:tc>
                <w:tcPr>
                  <w:tcW w:w="1320" w:type="dxa"/>
                  <w:tcBorders>
                    <w:top w:val="nil"/>
                    <w:left w:val="nil"/>
                    <w:bottom w:val="nil"/>
                    <w:right w:val="nil"/>
                  </w:tcBorders>
                  <w:shd w:val="clear" w:color="000000" w:fill="BFBFBF"/>
                  <w:vAlign w:val="bottom"/>
                  <w:hideMark/>
                </w:tcPr>
                <w:p w14:paraId="77A4CC2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rPr>
                  </w:pPr>
                  <w:r w:rsidRPr="003E5C1C">
                    <w:rPr>
                      <w:rFonts w:ascii="Calibri" w:eastAsia="Times New Roman" w:hAnsi="Calibri" w:cs="Calibri"/>
                      <w:b/>
                      <w:bCs/>
                    </w:rPr>
                    <w:t>Availability</w:t>
                  </w:r>
                  <w:r w:rsidRPr="003E5C1C">
                    <w:rPr>
                      <w:rFonts w:ascii="Calibri" w:eastAsia="Times New Roman" w:hAnsi="Calibri" w:cs="Calibri"/>
                      <w:b/>
                      <w:bCs/>
                      <w:vertAlign w:val="superscript"/>
                    </w:rPr>
                    <w:t>†</w:t>
                  </w:r>
                </w:p>
              </w:tc>
              <w:tc>
                <w:tcPr>
                  <w:tcW w:w="5420" w:type="dxa"/>
                  <w:vMerge w:val="restart"/>
                  <w:tcBorders>
                    <w:top w:val="nil"/>
                    <w:left w:val="nil"/>
                    <w:bottom w:val="single" w:sz="8" w:space="0" w:color="000000"/>
                    <w:right w:val="single" w:sz="8" w:space="0" w:color="auto"/>
                  </w:tcBorders>
                  <w:shd w:val="clear" w:color="000000" w:fill="BFBFBF"/>
                  <w:vAlign w:val="bottom"/>
                  <w:hideMark/>
                </w:tcPr>
                <w:p w14:paraId="083A203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rPr>
                  </w:pPr>
                  <w:r w:rsidRPr="003E5C1C">
                    <w:rPr>
                      <w:rFonts w:ascii="Calibri" w:eastAsia="Times New Roman" w:hAnsi="Calibri" w:cs="Calibri"/>
                      <w:b/>
                      <w:bCs/>
                    </w:rPr>
                    <w:t>Data File Name</w:t>
                  </w:r>
                </w:p>
              </w:tc>
            </w:tr>
            <w:tr w:rsidR="00D129B3" w:rsidRPr="003E5C1C" w14:paraId="3A5BAC75" w14:textId="77777777" w:rsidTr="00CB4ACE">
              <w:trPr>
                <w:trHeight w:val="315"/>
              </w:trPr>
              <w:tc>
                <w:tcPr>
                  <w:tcW w:w="5740" w:type="dxa"/>
                  <w:tcBorders>
                    <w:top w:val="nil"/>
                    <w:left w:val="single" w:sz="8" w:space="0" w:color="auto"/>
                    <w:bottom w:val="single" w:sz="8" w:space="0" w:color="auto"/>
                    <w:right w:val="nil"/>
                  </w:tcBorders>
                  <w:shd w:val="clear" w:color="000000" w:fill="BFBFBF"/>
                  <w:vAlign w:val="center"/>
                  <w:hideMark/>
                </w:tcPr>
                <w:p w14:paraId="6D9DCCC4" w14:textId="77777777" w:rsidR="00D129B3" w:rsidRPr="003E5C1C" w:rsidRDefault="00D129B3" w:rsidP="00CB4ACE">
                  <w:pPr>
                    <w:framePr w:hSpace="180" w:wrap="around" w:vAnchor="text" w:hAnchor="text" w:y="1"/>
                    <w:spacing w:after="0" w:line="240" w:lineRule="auto"/>
                    <w:ind w:firstLineChars="100" w:firstLine="221"/>
                    <w:suppressOverlap/>
                    <w:rPr>
                      <w:rFonts w:ascii="Calibri" w:eastAsia="Times New Roman" w:hAnsi="Calibri" w:cs="Calibri"/>
                      <w:b/>
                      <w:bCs/>
                    </w:rPr>
                  </w:pPr>
                  <w:r w:rsidRPr="003E5C1C">
                    <w:rPr>
                      <w:rFonts w:ascii="Calibri" w:eastAsia="Times New Roman" w:hAnsi="Calibri" w:cs="Calibri"/>
                      <w:b/>
                      <w:bCs/>
                    </w:rPr>
                    <w:t xml:space="preserve">Risk Factors/High-Risk Conditions/Risk Enhancers </w:t>
                  </w:r>
                </w:p>
              </w:tc>
              <w:tc>
                <w:tcPr>
                  <w:tcW w:w="920" w:type="dxa"/>
                  <w:tcBorders>
                    <w:top w:val="nil"/>
                    <w:left w:val="nil"/>
                    <w:bottom w:val="single" w:sz="8" w:space="0" w:color="auto"/>
                    <w:right w:val="nil"/>
                  </w:tcBorders>
                  <w:shd w:val="clear" w:color="000000" w:fill="BFBFBF"/>
                  <w:vAlign w:val="center"/>
                  <w:hideMark/>
                </w:tcPr>
                <w:p w14:paraId="59C56ED1"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b/>
                      <w:bCs/>
                    </w:rPr>
                  </w:pPr>
                  <w:r w:rsidRPr="003E5C1C">
                    <w:rPr>
                      <w:rFonts w:ascii="Calibri" w:eastAsia="Times New Roman" w:hAnsi="Calibri" w:cs="Calibri"/>
                      <w:b/>
                      <w:bCs/>
                    </w:rPr>
                    <w:t>Y/N/I/P</w:t>
                  </w:r>
                </w:p>
              </w:tc>
              <w:tc>
                <w:tcPr>
                  <w:tcW w:w="1320" w:type="dxa"/>
                  <w:tcBorders>
                    <w:top w:val="nil"/>
                    <w:left w:val="nil"/>
                    <w:bottom w:val="single" w:sz="8" w:space="0" w:color="auto"/>
                    <w:right w:val="nil"/>
                  </w:tcBorders>
                  <w:shd w:val="clear" w:color="000000" w:fill="BFBFBF"/>
                  <w:vAlign w:val="center"/>
                  <w:hideMark/>
                </w:tcPr>
                <w:p w14:paraId="06392C4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rPr>
                  </w:pPr>
                  <w:r w:rsidRPr="003E5C1C">
                    <w:rPr>
                      <w:rFonts w:ascii="Calibri" w:eastAsia="Times New Roman" w:hAnsi="Calibri" w:cs="Calibri"/>
                      <w:b/>
                      <w:bCs/>
                    </w:rPr>
                    <w:t>Component</w:t>
                  </w:r>
                </w:p>
              </w:tc>
              <w:tc>
                <w:tcPr>
                  <w:tcW w:w="5420" w:type="dxa"/>
                  <w:vMerge/>
                  <w:tcBorders>
                    <w:top w:val="nil"/>
                    <w:left w:val="nil"/>
                    <w:bottom w:val="single" w:sz="8" w:space="0" w:color="000000"/>
                    <w:right w:val="single" w:sz="8" w:space="0" w:color="auto"/>
                  </w:tcBorders>
                  <w:vAlign w:val="center"/>
                  <w:hideMark/>
                </w:tcPr>
                <w:p w14:paraId="5A639BC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rPr>
                  </w:pPr>
                </w:p>
              </w:tc>
            </w:tr>
            <w:tr w:rsidR="00D129B3" w:rsidRPr="003E5C1C" w14:paraId="509DFFB8" w14:textId="77777777" w:rsidTr="00CB4ACE">
              <w:trPr>
                <w:trHeight w:val="300"/>
              </w:trPr>
              <w:tc>
                <w:tcPr>
                  <w:tcW w:w="5740" w:type="dxa"/>
                  <w:tcBorders>
                    <w:top w:val="nil"/>
                    <w:left w:val="single" w:sz="8" w:space="0" w:color="auto"/>
                    <w:bottom w:val="nil"/>
                    <w:right w:val="nil"/>
                  </w:tcBorders>
                  <w:shd w:val="clear" w:color="000000" w:fill="808080"/>
                  <w:noWrap/>
                  <w:vAlign w:val="bottom"/>
                  <w:hideMark/>
                </w:tcPr>
                <w:p w14:paraId="69F3E0D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1) Secondary ASCVD Prevention -- Very high ASCVD Risk</w:t>
                  </w:r>
                </w:p>
              </w:tc>
              <w:tc>
                <w:tcPr>
                  <w:tcW w:w="920" w:type="dxa"/>
                  <w:tcBorders>
                    <w:top w:val="nil"/>
                    <w:left w:val="nil"/>
                    <w:bottom w:val="nil"/>
                    <w:right w:val="nil"/>
                  </w:tcBorders>
                  <w:shd w:val="clear" w:color="000000" w:fill="808080"/>
                  <w:noWrap/>
                  <w:vAlign w:val="center"/>
                  <w:hideMark/>
                </w:tcPr>
                <w:p w14:paraId="4C04835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b/>
                      <w:bCs/>
                      <w:color w:val="000000"/>
                    </w:rPr>
                  </w:pPr>
                  <w:r w:rsidRPr="003E5C1C">
                    <w:rPr>
                      <w:rFonts w:ascii="Calibri" w:eastAsia="Times New Roman" w:hAnsi="Calibri" w:cs="Calibri"/>
                      <w:b/>
                      <w:bCs/>
                      <w:color w:val="000000"/>
                    </w:rPr>
                    <w:t> </w:t>
                  </w:r>
                </w:p>
              </w:tc>
              <w:tc>
                <w:tcPr>
                  <w:tcW w:w="1320" w:type="dxa"/>
                  <w:tcBorders>
                    <w:top w:val="nil"/>
                    <w:left w:val="nil"/>
                    <w:bottom w:val="nil"/>
                    <w:right w:val="nil"/>
                  </w:tcBorders>
                  <w:shd w:val="clear" w:color="000000" w:fill="808080"/>
                  <w:noWrap/>
                  <w:vAlign w:val="bottom"/>
                  <w:hideMark/>
                </w:tcPr>
                <w:p w14:paraId="6430BE5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 </w:t>
                  </w:r>
                </w:p>
              </w:tc>
              <w:tc>
                <w:tcPr>
                  <w:tcW w:w="5420" w:type="dxa"/>
                  <w:tcBorders>
                    <w:top w:val="nil"/>
                    <w:left w:val="nil"/>
                    <w:bottom w:val="nil"/>
                    <w:right w:val="single" w:sz="8" w:space="0" w:color="auto"/>
                  </w:tcBorders>
                  <w:shd w:val="clear" w:color="000000" w:fill="808080"/>
                  <w:vAlign w:val="bottom"/>
                  <w:hideMark/>
                </w:tcPr>
                <w:p w14:paraId="3D03AA0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3D538155" w14:textId="77777777" w:rsidTr="00CB4ACE">
              <w:trPr>
                <w:trHeight w:val="300"/>
              </w:trPr>
              <w:tc>
                <w:tcPr>
                  <w:tcW w:w="5740" w:type="dxa"/>
                  <w:tcBorders>
                    <w:top w:val="nil"/>
                    <w:left w:val="single" w:sz="8" w:space="0" w:color="auto"/>
                    <w:bottom w:val="nil"/>
                    <w:right w:val="nil"/>
                  </w:tcBorders>
                  <w:shd w:val="clear" w:color="000000" w:fill="BFBFBF"/>
                  <w:hideMark/>
                </w:tcPr>
                <w:p w14:paraId="58680C62"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Major ASCVD Events</w:t>
                  </w:r>
                </w:p>
              </w:tc>
              <w:tc>
                <w:tcPr>
                  <w:tcW w:w="920" w:type="dxa"/>
                  <w:tcBorders>
                    <w:top w:val="nil"/>
                    <w:left w:val="nil"/>
                    <w:bottom w:val="nil"/>
                    <w:right w:val="nil"/>
                  </w:tcBorders>
                  <w:shd w:val="clear" w:color="000000" w:fill="BFBFBF"/>
                  <w:vAlign w:val="center"/>
                  <w:hideMark/>
                </w:tcPr>
                <w:p w14:paraId="2AB003F0"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BFBFBF"/>
                  <w:hideMark/>
                </w:tcPr>
                <w:p w14:paraId="3D93DD1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rPr>
                  </w:pPr>
                  <w:r w:rsidRPr="003E5C1C">
                    <w:rPr>
                      <w:rFonts w:ascii="Calibri" w:eastAsia="Times New Roman" w:hAnsi="Calibri" w:cs="Calibri"/>
                      <w:color w:val="000000"/>
                    </w:rPr>
                    <w:t> </w:t>
                  </w:r>
                </w:p>
              </w:tc>
              <w:tc>
                <w:tcPr>
                  <w:tcW w:w="5420" w:type="dxa"/>
                  <w:tcBorders>
                    <w:top w:val="nil"/>
                    <w:left w:val="nil"/>
                    <w:bottom w:val="nil"/>
                    <w:right w:val="single" w:sz="8" w:space="0" w:color="auto"/>
                  </w:tcBorders>
                  <w:shd w:val="clear" w:color="000000" w:fill="BFBFBF"/>
                  <w:vAlign w:val="center"/>
                  <w:hideMark/>
                </w:tcPr>
                <w:p w14:paraId="6C95791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65DC9793" w14:textId="77777777" w:rsidTr="00CB4ACE">
              <w:trPr>
                <w:trHeight w:val="270"/>
              </w:trPr>
              <w:tc>
                <w:tcPr>
                  <w:tcW w:w="5740" w:type="dxa"/>
                  <w:tcBorders>
                    <w:top w:val="nil"/>
                    <w:left w:val="single" w:sz="8" w:space="0" w:color="auto"/>
                    <w:bottom w:val="nil"/>
                    <w:right w:val="nil"/>
                  </w:tcBorders>
                  <w:shd w:val="clear" w:color="000000" w:fill="FFFFFF"/>
                  <w:hideMark/>
                </w:tcPr>
                <w:p w14:paraId="47957E35"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Recent acute coronary syndrome (ACS)</w:t>
                  </w:r>
                </w:p>
              </w:tc>
              <w:tc>
                <w:tcPr>
                  <w:tcW w:w="920" w:type="dxa"/>
                  <w:tcBorders>
                    <w:top w:val="nil"/>
                    <w:left w:val="nil"/>
                    <w:bottom w:val="nil"/>
                    <w:right w:val="nil"/>
                  </w:tcBorders>
                  <w:shd w:val="clear" w:color="000000" w:fill="FFFFFF"/>
                  <w:vAlign w:val="center"/>
                  <w:hideMark/>
                </w:tcPr>
                <w:p w14:paraId="4D179969"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hideMark/>
                </w:tcPr>
                <w:p w14:paraId="1D65290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4CE41A9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 (Heart attack, Angina)</w:t>
                  </w:r>
                </w:p>
              </w:tc>
            </w:tr>
            <w:tr w:rsidR="00D129B3" w:rsidRPr="003E5C1C" w14:paraId="35E8E814" w14:textId="77777777" w:rsidTr="00CB4ACE">
              <w:trPr>
                <w:trHeight w:val="270"/>
              </w:trPr>
              <w:tc>
                <w:tcPr>
                  <w:tcW w:w="5740" w:type="dxa"/>
                  <w:tcBorders>
                    <w:top w:val="nil"/>
                    <w:left w:val="single" w:sz="8" w:space="0" w:color="auto"/>
                    <w:bottom w:val="nil"/>
                    <w:right w:val="nil"/>
                  </w:tcBorders>
                  <w:shd w:val="clear" w:color="000000" w:fill="FFFFFF"/>
                  <w:hideMark/>
                </w:tcPr>
                <w:p w14:paraId="5AAFCD40"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History of MI (other than recent ACS event listed above)</w:t>
                  </w:r>
                </w:p>
              </w:tc>
              <w:tc>
                <w:tcPr>
                  <w:tcW w:w="920" w:type="dxa"/>
                  <w:tcBorders>
                    <w:top w:val="nil"/>
                    <w:left w:val="nil"/>
                    <w:bottom w:val="nil"/>
                    <w:right w:val="nil"/>
                  </w:tcBorders>
                  <w:shd w:val="clear" w:color="000000" w:fill="FFFFFF"/>
                  <w:vAlign w:val="center"/>
                  <w:hideMark/>
                </w:tcPr>
                <w:p w14:paraId="2561EAD7"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hideMark/>
                </w:tcPr>
                <w:p w14:paraId="387B04B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627176D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w:t>
                  </w:r>
                </w:p>
              </w:tc>
            </w:tr>
            <w:tr w:rsidR="00D129B3" w:rsidRPr="003E5C1C" w14:paraId="2CC25EDE" w14:textId="77777777" w:rsidTr="00CB4ACE">
              <w:trPr>
                <w:trHeight w:val="270"/>
              </w:trPr>
              <w:tc>
                <w:tcPr>
                  <w:tcW w:w="5740" w:type="dxa"/>
                  <w:tcBorders>
                    <w:top w:val="nil"/>
                    <w:left w:val="single" w:sz="8" w:space="0" w:color="auto"/>
                    <w:bottom w:val="nil"/>
                    <w:right w:val="nil"/>
                  </w:tcBorders>
                  <w:shd w:val="clear" w:color="000000" w:fill="FFFFFF"/>
                  <w:hideMark/>
                </w:tcPr>
                <w:p w14:paraId="431C162A"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History of ischemic stroke</w:t>
                  </w:r>
                </w:p>
              </w:tc>
              <w:tc>
                <w:tcPr>
                  <w:tcW w:w="920" w:type="dxa"/>
                  <w:tcBorders>
                    <w:top w:val="nil"/>
                    <w:left w:val="nil"/>
                    <w:bottom w:val="nil"/>
                    <w:right w:val="nil"/>
                  </w:tcBorders>
                  <w:shd w:val="clear" w:color="000000" w:fill="FFFFFF"/>
                  <w:vAlign w:val="center"/>
                  <w:hideMark/>
                </w:tcPr>
                <w:p w14:paraId="278B2D5D"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hideMark/>
                </w:tcPr>
                <w:p w14:paraId="2158160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4B523B8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 (all Stroke)</w:t>
                  </w:r>
                </w:p>
              </w:tc>
            </w:tr>
            <w:tr w:rsidR="00D129B3" w:rsidRPr="003E5C1C" w14:paraId="7690E972" w14:textId="77777777" w:rsidTr="00CB4ACE">
              <w:trPr>
                <w:trHeight w:val="270"/>
              </w:trPr>
              <w:tc>
                <w:tcPr>
                  <w:tcW w:w="5740" w:type="dxa"/>
                  <w:tcBorders>
                    <w:top w:val="nil"/>
                    <w:left w:val="single" w:sz="8" w:space="0" w:color="auto"/>
                    <w:bottom w:val="nil"/>
                    <w:right w:val="nil"/>
                  </w:tcBorders>
                  <w:shd w:val="clear" w:color="000000" w:fill="FFFFFF"/>
                  <w:hideMark/>
                </w:tcPr>
                <w:p w14:paraId="37BE46A9"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Symptomatic peripheral arterial disease (PAD)</w:t>
                  </w:r>
                </w:p>
              </w:tc>
              <w:tc>
                <w:tcPr>
                  <w:tcW w:w="920" w:type="dxa"/>
                  <w:tcBorders>
                    <w:top w:val="nil"/>
                    <w:left w:val="nil"/>
                    <w:bottom w:val="nil"/>
                    <w:right w:val="nil"/>
                  </w:tcBorders>
                  <w:shd w:val="clear" w:color="000000" w:fill="FFFFFF"/>
                  <w:vAlign w:val="center"/>
                  <w:hideMark/>
                </w:tcPr>
                <w:p w14:paraId="19A99D56"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FFFFFF"/>
                  <w:hideMark/>
                </w:tcPr>
                <w:p w14:paraId="1B059AD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41124FE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160177B4" w14:textId="77777777" w:rsidTr="00CB4ACE">
              <w:trPr>
                <w:trHeight w:val="300"/>
              </w:trPr>
              <w:tc>
                <w:tcPr>
                  <w:tcW w:w="5740" w:type="dxa"/>
                  <w:tcBorders>
                    <w:top w:val="nil"/>
                    <w:left w:val="single" w:sz="8" w:space="0" w:color="auto"/>
                    <w:bottom w:val="nil"/>
                    <w:right w:val="nil"/>
                  </w:tcBorders>
                  <w:shd w:val="clear" w:color="000000" w:fill="BFBFBF"/>
                  <w:hideMark/>
                </w:tcPr>
                <w:p w14:paraId="3058BD04"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 High-Risk Conditions</w:t>
                  </w:r>
                </w:p>
              </w:tc>
              <w:tc>
                <w:tcPr>
                  <w:tcW w:w="920" w:type="dxa"/>
                  <w:tcBorders>
                    <w:top w:val="nil"/>
                    <w:left w:val="nil"/>
                    <w:bottom w:val="nil"/>
                    <w:right w:val="nil"/>
                  </w:tcBorders>
                  <w:shd w:val="clear" w:color="000000" w:fill="BFBFBF"/>
                  <w:vAlign w:val="center"/>
                  <w:hideMark/>
                </w:tcPr>
                <w:p w14:paraId="57580D01"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BFBFBF"/>
                  <w:hideMark/>
                </w:tcPr>
                <w:p w14:paraId="67F7D54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rPr>
                  </w:pPr>
                  <w:r w:rsidRPr="003E5C1C">
                    <w:rPr>
                      <w:rFonts w:ascii="Calibri" w:eastAsia="Times New Roman" w:hAnsi="Calibri" w:cs="Calibri"/>
                      <w:color w:val="000000"/>
                    </w:rPr>
                    <w:t> </w:t>
                  </w:r>
                </w:p>
              </w:tc>
              <w:tc>
                <w:tcPr>
                  <w:tcW w:w="5420" w:type="dxa"/>
                  <w:tcBorders>
                    <w:top w:val="nil"/>
                    <w:left w:val="nil"/>
                    <w:bottom w:val="nil"/>
                    <w:right w:val="single" w:sz="8" w:space="0" w:color="auto"/>
                  </w:tcBorders>
                  <w:shd w:val="clear" w:color="000000" w:fill="BFBFBF"/>
                  <w:vAlign w:val="center"/>
                  <w:hideMark/>
                </w:tcPr>
                <w:p w14:paraId="29BEC11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355FCFD7" w14:textId="77777777" w:rsidTr="00CB4ACE">
              <w:trPr>
                <w:trHeight w:val="255"/>
              </w:trPr>
              <w:tc>
                <w:tcPr>
                  <w:tcW w:w="5740" w:type="dxa"/>
                  <w:tcBorders>
                    <w:top w:val="nil"/>
                    <w:left w:val="single" w:sz="8" w:space="0" w:color="auto"/>
                    <w:bottom w:val="nil"/>
                    <w:right w:val="nil"/>
                  </w:tcBorders>
                  <w:shd w:val="clear" w:color="000000" w:fill="FFFFFF"/>
                  <w:hideMark/>
                </w:tcPr>
                <w:p w14:paraId="5159F5A7"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Age ≥65 y</w:t>
                  </w:r>
                </w:p>
              </w:tc>
              <w:tc>
                <w:tcPr>
                  <w:tcW w:w="920" w:type="dxa"/>
                  <w:tcBorders>
                    <w:top w:val="nil"/>
                    <w:left w:val="nil"/>
                    <w:bottom w:val="nil"/>
                    <w:right w:val="nil"/>
                  </w:tcBorders>
                  <w:shd w:val="clear" w:color="000000" w:fill="FFFFFF"/>
                  <w:vAlign w:val="center"/>
                  <w:hideMark/>
                </w:tcPr>
                <w:p w14:paraId="0331E987"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hideMark/>
                </w:tcPr>
                <w:p w14:paraId="2CD89C1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DEMO</w:t>
                  </w:r>
                </w:p>
              </w:tc>
              <w:tc>
                <w:tcPr>
                  <w:tcW w:w="5420" w:type="dxa"/>
                  <w:tcBorders>
                    <w:top w:val="nil"/>
                    <w:left w:val="nil"/>
                    <w:bottom w:val="nil"/>
                    <w:right w:val="single" w:sz="8" w:space="0" w:color="auto"/>
                  </w:tcBorders>
                  <w:shd w:val="clear" w:color="000000" w:fill="FFFFFF"/>
                  <w:vAlign w:val="center"/>
                  <w:hideMark/>
                </w:tcPr>
                <w:p w14:paraId="0CE7D84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Demographic Variables and Sample Weights</w:t>
                  </w:r>
                </w:p>
              </w:tc>
            </w:tr>
            <w:tr w:rsidR="00D129B3" w:rsidRPr="003E5C1C" w14:paraId="2C578FD4" w14:textId="77777777" w:rsidTr="00CB4ACE">
              <w:trPr>
                <w:trHeight w:val="255"/>
              </w:trPr>
              <w:tc>
                <w:tcPr>
                  <w:tcW w:w="5740" w:type="dxa"/>
                  <w:tcBorders>
                    <w:top w:val="nil"/>
                    <w:left w:val="single" w:sz="8" w:space="0" w:color="auto"/>
                    <w:bottom w:val="nil"/>
                    <w:right w:val="nil"/>
                  </w:tcBorders>
                  <w:shd w:val="clear" w:color="000000" w:fill="D9D9D9"/>
                  <w:hideMark/>
                </w:tcPr>
                <w:p w14:paraId="37B5349C"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Heterozygous familial hypercholesterolemia</w:t>
                  </w:r>
                </w:p>
              </w:tc>
              <w:tc>
                <w:tcPr>
                  <w:tcW w:w="920" w:type="dxa"/>
                  <w:tcBorders>
                    <w:top w:val="nil"/>
                    <w:left w:val="nil"/>
                    <w:bottom w:val="nil"/>
                    <w:right w:val="nil"/>
                  </w:tcBorders>
                  <w:shd w:val="clear" w:color="000000" w:fill="D9D9D9"/>
                  <w:vAlign w:val="center"/>
                  <w:hideMark/>
                </w:tcPr>
                <w:p w14:paraId="3DB025C8"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D9D9D9"/>
                  <w:hideMark/>
                </w:tcPr>
                <w:p w14:paraId="29A62CB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D9D9D9"/>
                  <w:vAlign w:val="center"/>
                  <w:hideMark/>
                </w:tcPr>
                <w:p w14:paraId="670E581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074A8F34" w14:textId="77777777" w:rsidTr="00CB4ACE">
              <w:trPr>
                <w:trHeight w:val="255"/>
              </w:trPr>
              <w:tc>
                <w:tcPr>
                  <w:tcW w:w="5740" w:type="dxa"/>
                  <w:tcBorders>
                    <w:top w:val="nil"/>
                    <w:left w:val="single" w:sz="8" w:space="0" w:color="auto"/>
                    <w:bottom w:val="nil"/>
                    <w:right w:val="nil"/>
                  </w:tcBorders>
                  <w:shd w:val="clear" w:color="000000" w:fill="FFFFFF"/>
                  <w:hideMark/>
                </w:tcPr>
                <w:p w14:paraId="36358771"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History of prior CABG or PCI</w:t>
                  </w:r>
                </w:p>
              </w:tc>
              <w:tc>
                <w:tcPr>
                  <w:tcW w:w="920" w:type="dxa"/>
                  <w:tcBorders>
                    <w:top w:val="nil"/>
                    <w:left w:val="nil"/>
                    <w:bottom w:val="nil"/>
                    <w:right w:val="nil"/>
                  </w:tcBorders>
                  <w:shd w:val="clear" w:color="000000" w:fill="FFFFFF"/>
                  <w:vAlign w:val="center"/>
                  <w:hideMark/>
                </w:tcPr>
                <w:p w14:paraId="3E99C235"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FFFFFF"/>
                  <w:hideMark/>
                </w:tcPr>
                <w:p w14:paraId="2BBC420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703DA0B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68346E65" w14:textId="77777777" w:rsidTr="00CB4ACE">
              <w:trPr>
                <w:trHeight w:val="255"/>
              </w:trPr>
              <w:tc>
                <w:tcPr>
                  <w:tcW w:w="5740" w:type="dxa"/>
                  <w:vMerge w:val="restart"/>
                  <w:tcBorders>
                    <w:top w:val="nil"/>
                    <w:left w:val="single" w:sz="8" w:space="0" w:color="auto"/>
                    <w:bottom w:val="nil"/>
                    <w:right w:val="nil"/>
                  </w:tcBorders>
                  <w:shd w:val="clear" w:color="000000" w:fill="D9D9D9"/>
                  <w:hideMark/>
                </w:tcPr>
                <w:p w14:paraId="52647CC1"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Diabetes mellitus (FPG &gt;125 mg/dL, HbA1c ≥6.5%, or self-reported diabetes or medications)</w:t>
                  </w:r>
                </w:p>
              </w:tc>
              <w:tc>
                <w:tcPr>
                  <w:tcW w:w="920" w:type="dxa"/>
                  <w:vMerge w:val="restart"/>
                  <w:tcBorders>
                    <w:top w:val="nil"/>
                    <w:left w:val="nil"/>
                    <w:bottom w:val="nil"/>
                    <w:right w:val="nil"/>
                  </w:tcBorders>
                  <w:shd w:val="clear" w:color="000000" w:fill="D9D9D9"/>
                  <w:vAlign w:val="center"/>
                  <w:hideMark/>
                </w:tcPr>
                <w:p w14:paraId="7412E129"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D9D9D9"/>
                  <w:hideMark/>
                </w:tcPr>
                <w:p w14:paraId="1354D51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D9D9D9"/>
                  <w:vAlign w:val="center"/>
                  <w:hideMark/>
                </w:tcPr>
                <w:p w14:paraId="387E815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Diabetes (no data on type)</w:t>
                  </w:r>
                </w:p>
              </w:tc>
            </w:tr>
            <w:tr w:rsidR="00D129B3" w:rsidRPr="003E5C1C" w14:paraId="2599A7FE" w14:textId="77777777" w:rsidTr="00CB4ACE">
              <w:trPr>
                <w:trHeight w:val="255"/>
              </w:trPr>
              <w:tc>
                <w:tcPr>
                  <w:tcW w:w="5740" w:type="dxa"/>
                  <w:vMerge/>
                  <w:tcBorders>
                    <w:top w:val="nil"/>
                    <w:left w:val="single" w:sz="8" w:space="0" w:color="auto"/>
                    <w:bottom w:val="nil"/>
                    <w:right w:val="nil"/>
                  </w:tcBorders>
                  <w:vAlign w:val="center"/>
                  <w:hideMark/>
                </w:tcPr>
                <w:p w14:paraId="3E7C14B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vMerge/>
                  <w:tcBorders>
                    <w:top w:val="nil"/>
                    <w:left w:val="nil"/>
                    <w:bottom w:val="nil"/>
                    <w:right w:val="nil"/>
                  </w:tcBorders>
                  <w:vAlign w:val="center"/>
                  <w:hideMark/>
                </w:tcPr>
                <w:p w14:paraId="3932E21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1320" w:type="dxa"/>
                  <w:tcBorders>
                    <w:top w:val="nil"/>
                    <w:left w:val="nil"/>
                    <w:bottom w:val="nil"/>
                    <w:right w:val="nil"/>
                  </w:tcBorders>
                  <w:shd w:val="clear" w:color="000000" w:fill="D9D9D9"/>
                  <w:hideMark/>
                </w:tcPr>
                <w:p w14:paraId="7018FFC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0A1A14B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Glycohemoglobin, Plasma Fasting Glucose</w:t>
                  </w:r>
                </w:p>
              </w:tc>
            </w:tr>
            <w:tr w:rsidR="00D129B3" w:rsidRPr="003E5C1C" w14:paraId="4200B9F2" w14:textId="77777777" w:rsidTr="00CB4ACE">
              <w:trPr>
                <w:trHeight w:val="255"/>
              </w:trPr>
              <w:tc>
                <w:tcPr>
                  <w:tcW w:w="5740" w:type="dxa"/>
                  <w:vMerge w:val="restart"/>
                  <w:tcBorders>
                    <w:top w:val="nil"/>
                    <w:left w:val="single" w:sz="8" w:space="0" w:color="auto"/>
                    <w:bottom w:val="nil"/>
                    <w:right w:val="nil"/>
                  </w:tcBorders>
                  <w:shd w:val="clear" w:color="000000" w:fill="FFFFFF"/>
                  <w:hideMark/>
                </w:tcPr>
                <w:p w14:paraId="12CE8A40"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Hypertension (SBP ≥140 mmHg, DBP ≥90 mmHg, or BP-lowering medication use)</w:t>
                  </w:r>
                </w:p>
              </w:tc>
              <w:tc>
                <w:tcPr>
                  <w:tcW w:w="920" w:type="dxa"/>
                  <w:vMerge w:val="restart"/>
                  <w:tcBorders>
                    <w:top w:val="nil"/>
                    <w:left w:val="nil"/>
                    <w:bottom w:val="nil"/>
                    <w:right w:val="nil"/>
                  </w:tcBorders>
                  <w:shd w:val="clear" w:color="000000" w:fill="FFFFFF"/>
                  <w:vAlign w:val="center"/>
                  <w:hideMark/>
                </w:tcPr>
                <w:p w14:paraId="189A7DF6"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hideMark/>
                </w:tcPr>
                <w:p w14:paraId="79DF0F7E"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7D625FC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Blood Pressure and Cholesterol</w:t>
                  </w:r>
                </w:p>
              </w:tc>
            </w:tr>
            <w:tr w:rsidR="00D129B3" w:rsidRPr="003E5C1C" w14:paraId="380DA52D" w14:textId="77777777" w:rsidTr="00CB4ACE">
              <w:trPr>
                <w:trHeight w:val="255"/>
              </w:trPr>
              <w:tc>
                <w:tcPr>
                  <w:tcW w:w="5740" w:type="dxa"/>
                  <w:vMerge/>
                  <w:tcBorders>
                    <w:top w:val="nil"/>
                    <w:left w:val="single" w:sz="8" w:space="0" w:color="auto"/>
                    <w:bottom w:val="nil"/>
                    <w:right w:val="nil"/>
                  </w:tcBorders>
                  <w:vAlign w:val="center"/>
                  <w:hideMark/>
                </w:tcPr>
                <w:p w14:paraId="30EA475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vMerge/>
                  <w:tcBorders>
                    <w:top w:val="nil"/>
                    <w:left w:val="nil"/>
                    <w:bottom w:val="nil"/>
                    <w:right w:val="nil"/>
                  </w:tcBorders>
                  <w:vAlign w:val="center"/>
                  <w:hideMark/>
                </w:tcPr>
                <w:p w14:paraId="26C09B7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1320" w:type="dxa"/>
                  <w:tcBorders>
                    <w:top w:val="nil"/>
                    <w:left w:val="nil"/>
                    <w:bottom w:val="nil"/>
                    <w:right w:val="nil"/>
                  </w:tcBorders>
                  <w:shd w:val="clear" w:color="000000" w:fill="FFFFFF"/>
                  <w:hideMark/>
                </w:tcPr>
                <w:p w14:paraId="4618240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EXAM</w:t>
                  </w:r>
                </w:p>
              </w:tc>
              <w:tc>
                <w:tcPr>
                  <w:tcW w:w="5420" w:type="dxa"/>
                  <w:tcBorders>
                    <w:top w:val="nil"/>
                    <w:left w:val="nil"/>
                    <w:bottom w:val="nil"/>
                    <w:right w:val="single" w:sz="8" w:space="0" w:color="auto"/>
                  </w:tcBorders>
                  <w:shd w:val="clear" w:color="000000" w:fill="FFFFFF"/>
                  <w:vAlign w:val="center"/>
                  <w:hideMark/>
                </w:tcPr>
                <w:p w14:paraId="272B028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Blood Pressure</w:t>
                  </w:r>
                </w:p>
              </w:tc>
            </w:tr>
            <w:tr w:rsidR="00D129B3" w:rsidRPr="003E5C1C" w14:paraId="6D7B568A" w14:textId="77777777" w:rsidTr="00CB4ACE">
              <w:trPr>
                <w:trHeight w:val="315"/>
              </w:trPr>
              <w:tc>
                <w:tcPr>
                  <w:tcW w:w="5740" w:type="dxa"/>
                  <w:tcBorders>
                    <w:top w:val="nil"/>
                    <w:left w:val="single" w:sz="8" w:space="0" w:color="auto"/>
                    <w:bottom w:val="nil"/>
                    <w:right w:val="nil"/>
                  </w:tcBorders>
                  <w:shd w:val="clear" w:color="000000" w:fill="D9D9D9"/>
                  <w:hideMark/>
                </w:tcPr>
                <w:p w14:paraId="7E8693E6"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eGFR 15-59 mL/min/1.73m</w:t>
                  </w:r>
                  <w:r w:rsidRPr="003E5C1C">
                    <w:rPr>
                      <w:rFonts w:ascii="Calibri" w:eastAsia="Times New Roman" w:hAnsi="Calibri" w:cs="Calibri"/>
                      <w:color w:val="000000"/>
                      <w:sz w:val="20"/>
                      <w:szCs w:val="20"/>
                      <w:vertAlign w:val="superscript"/>
                    </w:rPr>
                    <w:t>2</w:t>
                  </w:r>
                  <w:r w:rsidRPr="003E5C1C">
                    <w:rPr>
                      <w:rFonts w:ascii="Calibri" w:eastAsia="Times New Roman" w:hAnsi="Calibri" w:cs="Calibri"/>
                      <w:color w:val="000000"/>
                      <w:sz w:val="20"/>
                      <w:szCs w:val="20"/>
                    </w:rPr>
                    <w:t xml:space="preserve"> (CKD-Epi equations)</w:t>
                  </w:r>
                </w:p>
              </w:tc>
              <w:tc>
                <w:tcPr>
                  <w:tcW w:w="920" w:type="dxa"/>
                  <w:tcBorders>
                    <w:top w:val="nil"/>
                    <w:left w:val="nil"/>
                    <w:bottom w:val="nil"/>
                    <w:right w:val="nil"/>
                  </w:tcBorders>
                  <w:shd w:val="clear" w:color="000000" w:fill="D9D9D9"/>
                  <w:vAlign w:val="center"/>
                  <w:hideMark/>
                </w:tcPr>
                <w:p w14:paraId="0BE4D59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hideMark/>
                </w:tcPr>
                <w:p w14:paraId="64E3DA0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142F166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Standard Biochemistry Profile</w:t>
                  </w:r>
                </w:p>
              </w:tc>
            </w:tr>
            <w:tr w:rsidR="00D129B3" w:rsidRPr="003E5C1C" w14:paraId="29C3566D" w14:textId="77777777" w:rsidTr="00CB4ACE">
              <w:trPr>
                <w:trHeight w:val="255"/>
              </w:trPr>
              <w:tc>
                <w:tcPr>
                  <w:tcW w:w="5740" w:type="dxa"/>
                  <w:vMerge w:val="restart"/>
                  <w:tcBorders>
                    <w:top w:val="nil"/>
                    <w:left w:val="single" w:sz="8" w:space="0" w:color="auto"/>
                    <w:bottom w:val="nil"/>
                    <w:right w:val="nil"/>
                  </w:tcBorders>
                  <w:shd w:val="clear" w:color="000000" w:fill="FFFFFF"/>
                  <w:vAlign w:val="center"/>
                  <w:hideMark/>
                </w:tcPr>
                <w:p w14:paraId="2FB3E644"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Current smoking (self-report or serum creatinine &gt;10mg/dL)</w:t>
                  </w:r>
                </w:p>
              </w:tc>
              <w:tc>
                <w:tcPr>
                  <w:tcW w:w="920" w:type="dxa"/>
                  <w:vMerge w:val="restart"/>
                  <w:tcBorders>
                    <w:top w:val="nil"/>
                    <w:left w:val="nil"/>
                    <w:bottom w:val="nil"/>
                    <w:right w:val="nil"/>
                  </w:tcBorders>
                  <w:shd w:val="clear" w:color="000000" w:fill="FFFFFF"/>
                  <w:vAlign w:val="center"/>
                  <w:hideMark/>
                </w:tcPr>
                <w:p w14:paraId="23959B8B"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hideMark/>
                </w:tcPr>
                <w:p w14:paraId="3D7CD8F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799D7CA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Smoking - Cigarette Use</w:t>
                  </w:r>
                </w:p>
              </w:tc>
            </w:tr>
            <w:tr w:rsidR="00D129B3" w:rsidRPr="003E5C1C" w14:paraId="33AEC3B4" w14:textId="77777777" w:rsidTr="00CB4ACE">
              <w:trPr>
                <w:trHeight w:val="255"/>
              </w:trPr>
              <w:tc>
                <w:tcPr>
                  <w:tcW w:w="5740" w:type="dxa"/>
                  <w:vMerge/>
                  <w:tcBorders>
                    <w:top w:val="nil"/>
                    <w:left w:val="single" w:sz="8" w:space="0" w:color="auto"/>
                    <w:bottom w:val="nil"/>
                    <w:right w:val="nil"/>
                  </w:tcBorders>
                  <w:vAlign w:val="center"/>
                  <w:hideMark/>
                </w:tcPr>
                <w:p w14:paraId="45D76BF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vMerge/>
                  <w:tcBorders>
                    <w:top w:val="nil"/>
                    <w:left w:val="nil"/>
                    <w:bottom w:val="nil"/>
                    <w:right w:val="nil"/>
                  </w:tcBorders>
                  <w:vAlign w:val="center"/>
                  <w:hideMark/>
                </w:tcPr>
                <w:p w14:paraId="7454B5F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1320" w:type="dxa"/>
                  <w:tcBorders>
                    <w:top w:val="nil"/>
                    <w:left w:val="nil"/>
                    <w:bottom w:val="nil"/>
                    <w:right w:val="nil"/>
                  </w:tcBorders>
                  <w:shd w:val="clear" w:color="000000" w:fill="FFFFFF"/>
                  <w:hideMark/>
                </w:tcPr>
                <w:p w14:paraId="70D4E3F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323B9AC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Cotinine and Hydroxycotinine - Serum</w:t>
                  </w:r>
                </w:p>
              </w:tc>
            </w:tr>
            <w:tr w:rsidR="00D129B3" w:rsidRPr="003E5C1C" w14:paraId="5F6E0DA8" w14:textId="77777777" w:rsidTr="00CB4ACE">
              <w:trPr>
                <w:trHeight w:val="255"/>
              </w:trPr>
              <w:tc>
                <w:tcPr>
                  <w:tcW w:w="5740" w:type="dxa"/>
                  <w:vMerge w:val="restart"/>
                  <w:tcBorders>
                    <w:top w:val="nil"/>
                    <w:left w:val="single" w:sz="8" w:space="0" w:color="auto"/>
                    <w:bottom w:val="nil"/>
                    <w:right w:val="nil"/>
                  </w:tcBorders>
                  <w:shd w:val="clear" w:color="000000" w:fill="D9D9D9"/>
                  <w:hideMark/>
                </w:tcPr>
                <w:p w14:paraId="52969553"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Persistently elevated LDL-C (LDL-c ≥100, with Statin+Ezetimibe ≥3 months)</w:t>
                  </w:r>
                </w:p>
              </w:tc>
              <w:tc>
                <w:tcPr>
                  <w:tcW w:w="920" w:type="dxa"/>
                  <w:vMerge w:val="restart"/>
                  <w:tcBorders>
                    <w:top w:val="nil"/>
                    <w:left w:val="nil"/>
                    <w:bottom w:val="nil"/>
                    <w:right w:val="nil"/>
                  </w:tcBorders>
                  <w:shd w:val="clear" w:color="000000" w:fill="D9D9D9"/>
                  <w:vAlign w:val="center"/>
                  <w:hideMark/>
                </w:tcPr>
                <w:p w14:paraId="75EB6F2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hideMark/>
                </w:tcPr>
                <w:p w14:paraId="64155CB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22923E5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Cholesterol - Low - Density Lipoprotein (LDL) &amp; Triglycerides</w:t>
                  </w:r>
                </w:p>
              </w:tc>
            </w:tr>
            <w:tr w:rsidR="00D129B3" w:rsidRPr="003E5C1C" w14:paraId="782C0319" w14:textId="77777777" w:rsidTr="00CB4ACE">
              <w:trPr>
                <w:trHeight w:val="255"/>
              </w:trPr>
              <w:tc>
                <w:tcPr>
                  <w:tcW w:w="5740" w:type="dxa"/>
                  <w:vMerge/>
                  <w:tcBorders>
                    <w:top w:val="nil"/>
                    <w:left w:val="single" w:sz="8" w:space="0" w:color="auto"/>
                    <w:bottom w:val="nil"/>
                    <w:right w:val="nil"/>
                  </w:tcBorders>
                  <w:vAlign w:val="center"/>
                  <w:hideMark/>
                </w:tcPr>
                <w:p w14:paraId="1C0ECA8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vMerge/>
                  <w:tcBorders>
                    <w:top w:val="nil"/>
                    <w:left w:val="nil"/>
                    <w:bottom w:val="nil"/>
                    <w:right w:val="nil"/>
                  </w:tcBorders>
                  <w:vAlign w:val="center"/>
                  <w:hideMark/>
                </w:tcPr>
                <w:p w14:paraId="7E7BCD5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1320" w:type="dxa"/>
                  <w:tcBorders>
                    <w:top w:val="nil"/>
                    <w:left w:val="nil"/>
                    <w:bottom w:val="nil"/>
                    <w:right w:val="nil"/>
                  </w:tcBorders>
                  <w:shd w:val="clear" w:color="000000" w:fill="D9D9D9"/>
                  <w:hideMark/>
                </w:tcPr>
                <w:p w14:paraId="6E80926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D9D9D9"/>
                  <w:vAlign w:val="center"/>
                  <w:hideMark/>
                </w:tcPr>
                <w:p w14:paraId="557EAFD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Prescription Medications</w:t>
                  </w:r>
                </w:p>
              </w:tc>
            </w:tr>
            <w:tr w:rsidR="00D129B3" w:rsidRPr="003E5C1C" w14:paraId="1E183B48" w14:textId="77777777" w:rsidTr="00CB4ACE">
              <w:trPr>
                <w:trHeight w:val="255"/>
              </w:trPr>
              <w:tc>
                <w:tcPr>
                  <w:tcW w:w="5740" w:type="dxa"/>
                  <w:tcBorders>
                    <w:top w:val="nil"/>
                    <w:left w:val="single" w:sz="8" w:space="0" w:color="auto"/>
                    <w:bottom w:val="single" w:sz="8" w:space="0" w:color="auto"/>
                    <w:right w:val="nil"/>
                  </w:tcBorders>
                  <w:shd w:val="clear" w:color="000000" w:fill="FFFFFF"/>
                  <w:hideMark/>
                </w:tcPr>
                <w:p w14:paraId="4B7FC0EE" w14:textId="77777777" w:rsidR="00D129B3" w:rsidRPr="003E5C1C" w:rsidRDefault="00D129B3" w:rsidP="00CB4ACE">
                  <w:pPr>
                    <w:framePr w:hSpace="180" w:wrap="around" w:vAnchor="text" w:hAnchor="text" w:y="1"/>
                    <w:spacing w:after="0" w:line="240" w:lineRule="auto"/>
                    <w:ind w:firstLineChars="400" w:firstLine="8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History of congestive HF</w:t>
                  </w:r>
                </w:p>
              </w:tc>
              <w:tc>
                <w:tcPr>
                  <w:tcW w:w="920" w:type="dxa"/>
                  <w:tcBorders>
                    <w:top w:val="nil"/>
                    <w:left w:val="nil"/>
                    <w:bottom w:val="single" w:sz="8" w:space="0" w:color="auto"/>
                    <w:right w:val="nil"/>
                  </w:tcBorders>
                  <w:shd w:val="clear" w:color="000000" w:fill="FFFFFF"/>
                  <w:vAlign w:val="center"/>
                  <w:hideMark/>
                </w:tcPr>
                <w:p w14:paraId="7F194532"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single" w:sz="8" w:space="0" w:color="auto"/>
                    <w:right w:val="nil"/>
                  </w:tcBorders>
                  <w:shd w:val="clear" w:color="000000" w:fill="FFFFFF"/>
                  <w:hideMark/>
                </w:tcPr>
                <w:p w14:paraId="07808E1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single" w:sz="8" w:space="0" w:color="auto"/>
                    <w:right w:val="single" w:sz="8" w:space="0" w:color="auto"/>
                  </w:tcBorders>
                  <w:shd w:val="clear" w:color="000000" w:fill="FFFFFF"/>
                  <w:vAlign w:val="center"/>
                  <w:hideMark/>
                </w:tcPr>
                <w:p w14:paraId="69D7FD2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w:t>
                  </w:r>
                </w:p>
              </w:tc>
            </w:tr>
            <w:tr w:rsidR="00D129B3" w:rsidRPr="003E5C1C" w14:paraId="5ADBD69A" w14:textId="77777777" w:rsidTr="00CB4ACE">
              <w:trPr>
                <w:trHeight w:val="300"/>
              </w:trPr>
              <w:tc>
                <w:tcPr>
                  <w:tcW w:w="5740" w:type="dxa"/>
                  <w:tcBorders>
                    <w:top w:val="nil"/>
                    <w:left w:val="single" w:sz="8" w:space="0" w:color="auto"/>
                    <w:bottom w:val="single" w:sz="4" w:space="0" w:color="auto"/>
                    <w:right w:val="nil"/>
                  </w:tcBorders>
                  <w:shd w:val="clear" w:color="000000" w:fill="808080"/>
                  <w:noWrap/>
                  <w:vAlign w:val="center"/>
                  <w:hideMark/>
                </w:tcPr>
                <w:p w14:paraId="22A6F8C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3) Diabetes -- Diabetes-specific Risk Enhancers</w:t>
                  </w:r>
                </w:p>
              </w:tc>
              <w:tc>
                <w:tcPr>
                  <w:tcW w:w="920" w:type="dxa"/>
                  <w:tcBorders>
                    <w:top w:val="nil"/>
                    <w:left w:val="nil"/>
                    <w:bottom w:val="single" w:sz="4" w:space="0" w:color="auto"/>
                    <w:right w:val="nil"/>
                  </w:tcBorders>
                  <w:shd w:val="clear" w:color="000000" w:fill="808080"/>
                  <w:noWrap/>
                  <w:vAlign w:val="center"/>
                  <w:hideMark/>
                </w:tcPr>
                <w:p w14:paraId="7AA27F92"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b/>
                      <w:bCs/>
                      <w:color w:val="000000"/>
                      <w:sz w:val="20"/>
                      <w:szCs w:val="20"/>
                    </w:rPr>
                  </w:pPr>
                  <w:r w:rsidRPr="003E5C1C">
                    <w:rPr>
                      <w:rFonts w:ascii="Calibri" w:eastAsia="Times New Roman" w:hAnsi="Calibri" w:cs="Calibri"/>
                      <w:b/>
                      <w:bCs/>
                      <w:color w:val="000000"/>
                      <w:sz w:val="20"/>
                      <w:szCs w:val="20"/>
                    </w:rPr>
                    <w:t>P</w:t>
                  </w:r>
                </w:p>
              </w:tc>
              <w:tc>
                <w:tcPr>
                  <w:tcW w:w="1320" w:type="dxa"/>
                  <w:tcBorders>
                    <w:top w:val="nil"/>
                    <w:left w:val="nil"/>
                    <w:bottom w:val="single" w:sz="4" w:space="0" w:color="auto"/>
                    <w:right w:val="nil"/>
                  </w:tcBorders>
                  <w:shd w:val="clear" w:color="000000" w:fill="808080"/>
                  <w:noWrap/>
                  <w:vAlign w:val="center"/>
                  <w:hideMark/>
                </w:tcPr>
                <w:p w14:paraId="4704F45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 </w:t>
                  </w:r>
                </w:p>
              </w:tc>
              <w:tc>
                <w:tcPr>
                  <w:tcW w:w="5420" w:type="dxa"/>
                  <w:tcBorders>
                    <w:top w:val="nil"/>
                    <w:left w:val="nil"/>
                    <w:bottom w:val="single" w:sz="4" w:space="0" w:color="auto"/>
                    <w:right w:val="single" w:sz="8" w:space="0" w:color="auto"/>
                  </w:tcBorders>
                  <w:shd w:val="clear" w:color="000000" w:fill="808080"/>
                  <w:vAlign w:val="center"/>
                  <w:hideMark/>
                </w:tcPr>
                <w:p w14:paraId="241F2BB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18C2351A" w14:textId="77777777" w:rsidTr="00CB4ACE">
              <w:trPr>
                <w:trHeight w:val="510"/>
              </w:trPr>
              <w:tc>
                <w:tcPr>
                  <w:tcW w:w="5740" w:type="dxa"/>
                  <w:tcBorders>
                    <w:top w:val="nil"/>
                    <w:left w:val="single" w:sz="8" w:space="0" w:color="auto"/>
                    <w:bottom w:val="nil"/>
                    <w:right w:val="nil"/>
                  </w:tcBorders>
                  <w:shd w:val="clear" w:color="000000" w:fill="FFFFFF"/>
                  <w:vAlign w:val="bottom"/>
                  <w:hideMark/>
                </w:tcPr>
                <w:p w14:paraId="3EC4BFB7"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Long diabetes duration (≥10 years for type 2 diabetes or ≥ 20 years for type 1 diabetes)</w:t>
                  </w:r>
                </w:p>
              </w:tc>
              <w:tc>
                <w:tcPr>
                  <w:tcW w:w="920" w:type="dxa"/>
                  <w:tcBorders>
                    <w:top w:val="nil"/>
                    <w:left w:val="nil"/>
                    <w:bottom w:val="nil"/>
                    <w:right w:val="nil"/>
                  </w:tcBorders>
                  <w:shd w:val="clear" w:color="000000" w:fill="FFFFFF"/>
                  <w:vAlign w:val="center"/>
                  <w:hideMark/>
                </w:tcPr>
                <w:p w14:paraId="1CFBAD4B"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vAlign w:val="center"/>
                  <w:hideMark/>
                </w:tcPr>
                <w:p w14:paraId="7E33D99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262FF47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Diabetes (no data on type; defined as diabetes duration ≥10y)</w:t>
                  </w:r>
                </w:p>
              </w:tc>
            </w:tr>
            <w:tr w:rsidR="00D129B3" w:rsidRPr="003E5C1C" w14:paraId="54FDF3FB" w14:textId="77777777" w:rsidTr="00CB4ACE">
              <w:trPr>
                <w:trHeight w:val="255"/>
              </w:trPr>
              <w:tc>
                <w:tcPr>
                  <w:tcW w:w="5740" w:type="dxa"/>
                  <w:tcBorders>
                    <w:top w:val="nil"/>
                    <w:left w:val="single" w:sz="8" w:space="0" w:color="auto"/>
                    <w:bottom w:val="nil"/>
                    <w:right w:val="nil"/>
                  </w:tcBorders>
                  <w:shd w:val="clear" w:color="000000" w:fill="FFFFFF"/>
                  <w:vAlign w:val="bottom"/>
                  <w:hideMark/>
                </w:tcPr>
                <w:p w14:paraId="6D7BDEF0"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Albuminuria (urine albumin/creatinine &gt;30 mg/g)</w:t>
                  </w:r>
                </w:p>
              </w:tc>
              <w:tc>
                <w:tcPr>
                  <w:tcW w:w="920" w:type="dxa"/>
                  <w:tcBorders>
                    <w:top w:val="nil"/>
                    <w:left w:val="nil"/>
                    <w:bottom w:val="nil"/>
                    <w:right w:val="nil"/>
                  </w:tcBorders>
                  <w:shd w:val="clear" w:color="000000" w:fill="FFFFFF"/>
                  <w:vAlign w:val="center"/>
                  <w:hideMark/>
                </w:tcPr>
                <w:p w14:paraId="44249BBE"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bottom"/>
                  <w:hideMark/>
                </w:tcPr>
                <w:p w14:paraId="4B7799E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4658BAA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Albumin &amp; Creatinine - Urine </w:t>
                  </w:r>
                </w:p>
              </w:tc>
            </w:tr>
            <w:tr w:rsidR="00D129B3" w:rsidRPr="003E5C1C" w14:paraId="34B624B1" w14:textId="77777777" w:rsidTr="00CB4ACE">
              <w:trPr>
                <w:trHeight w:val="255"/>
              </w:trPr>
              <w:tc>
                <w:tcPr>
                  <w:tcW w:w="5740" w:type="dxa"/>
                  <w:tcBorders>
                    <w:top w:val="nil"/>
                    <w:left w:val="single" w:sz="8" w:space="0" w:color="auto"/>
                    <w:bottom w:val="nil"/>
                    <w:right w:val="nil"/>
                  </w:tcBorders>
                  <w:shd w:val="clear" w:color="000000" w:fill="FFFFFF"/>
                  <w:vAlign w:val="bottom"/>
                  <w:hideMark/>
                </w:tcPr>
                <w:p w14:paraId="2D85D76D"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eGFR &lt;60 mL/min/1.73m</w:t>
                  </w:r>
                  <w:r w:rsidRPr="003E5C1C">
                    <w:rPr>
                      <w:rFonts w:ascii="Calibri" w:eastAsia="Times New Roman" w:hAnsi="Calibri" w:cs="Calibri"/>
                      <w:color w:val="000000"/>
                      <w:sz w:val="20"/>
                      <w:szCs w:val="20"/>
                      <w:vertAlign w:val="superscript"/>
                    </w:rPr>
                    <w:t>2</w:t>
                  </w:r>
                </w:p>
              </w:tc>
              <w:tc>
                <w:tcPr>
                  <w:tcW w:w="920" w:type="dxa"/>
                  <w:tcBorders>
                    <w:top w:val="nil"/>
                    <w:left w:val="nil"/>
                    <w:bottom w:val="nil"/>
                    <w:right w:val="nil"/>
                  </w:tcBorders>
                  <w:shd w:val="clear" w:color="000000" w:fill="FFFFFF"/>
                  <w:vAlign w:val="center"/>
                  <w:hideMark/>
                </w:tcPr>
                <w:p w14:paraId="02A63204"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bottom"/>
                  <w:hideMark/>
                </w:tcPr>
                <w:p w14:paraId="3CD9668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7B3ED67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Standard Biochemistry Profile</w:t>
                  </w:r>
                </w:p>
              </w:tc>
            </w:tr>
            <w:tr w:rsidR="00D129B3" w:rsidRPr="003E5C1C" w14:paraId="2B54866B" w14:textId="77777777" w:rsidTr="00CB4ACE">
              <w:trPr>
                <w:trHeight w:val="255"/>
              </w:trPr>
              <w:tc>
                <w:tcPr>
                  <w:tcW w:w="5740" w:type="dxa"/>
                  <w:tcBorders>
                    <w:top w:val="nil"/>
                    <w:left w:val="single" w:sz="8" w:space="0" w:color="auto"/>
                    <w:bottom w:val="nil"/>
                    <w:right w:val="nil"/>
                  </w:tcBorders>
                  <w:shd w:val="clear" w:color="000000" w:fill="FFFFFF"/>
                  <w:vAlign w:val="bottom"/>
                  <w:hideMark/>
                </w:tcPr>
                <w:p w14:paraId="4AAA5A37"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Retinopathy</w:t>
                  </w:r>
                </w:p>
              </w:tc>
              <w:tc>
                <w:tcPr>
                  <w:tcW w:w="920" w:type="dxa"/>
                  <w:tcBorders>
                    <w:top w:val="nil"/>
                    <w:left w:val="nil"/>
                    <w:bottom w:val="nil"/>
                    <w:right w:val="nil"/>
                  </w:tcBorders>
                  <w:shd w:val="clear" w:color="000000" w:fill="FFFFFF"/>
                  <w:vAlign w:val="center"/>
                  <w:hideMark/>
                </w:tcPr>
                <w:p w14:paraId="0453C780"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bottom"/>
                  <w:hideMark/>
                </w:tcPr>
                <w:p w14:paraId="1D1932F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6AC53A2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Diabetes</w:t>
                  </w:r>
                </w:p>
              </w:tc>
            </w:tr>
            <w:tr w:rsidR="00D129B3" w:rsidRPr="003E5C1C" w14:paraId="0468E523" w14:textId="77777777" w:rsidTr="00CB4ACE">
              <w:trPr>
                <w:trHeight w:val="270"/>
              </w:trPr>
              <w:tc>
                <w:tcPr>
                  <w:tcW w:w="5740" w:type="dxa"/>
                  <w:tcBorders>
                    <w:top w:val="nil"/>
                    <w:left w:val="single" w:sz="8" w:space="0" w:color="auto"/>
                    <w:bottom w:val="single" w:sz="8" w:space="0" w:color="auto"/>
                    <w:right w:val="nil"/>
                  </w:tcBorders>
                  <w:shd w:val="clear" w:color="000000" w:fill="FFFFFF"/>
                  <w:vAlign w:val="bottom"/>
                  <w:hideMark/>
                </w:tcPr>
                <w:p w14:paraId="64B57CC7"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Neuropathy</w:t>
                  </w:r>
                </w:p>
              </w:tc>
              <w:tc>
                <w:tcPr>
                  <w:tcW w:w="920" w:type="dxa"/>
                  <w:tcBorders>
                    <w:top w:val="nil"/>
                    <w:left w:val="nil"/>
                    <w:bottom w:val="single" w:sz="8" w:space="0" w:color="auto"/>
                    <w:right w:val="nil"/>
                  </w:tcBorders>
                  <w:shd w:val="clear" w:color="000000" w:fill="FFFFFF"/>
                  <w:vAlign w:val="center"/>
                  <w:hideMark/>
                </w:tcPr>
                <w:p w14:paraId="2180CA31"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single" w:sz="8" w:space="0" w:color="auto"/>
                    <w:right w:val="nil"/>
                  </w:tcBorders>
                  <w:shd w:val="clear" w:color="000000" w:fill="FFFFFF"/>
                  <w:vAlign w:val="bottom"/>
                  <w:hideMark/>
                </w:tcPr>
                <w:p w14:paraId="64D982D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single" w:sz="8" w:space="0" w:color="auto"/>
                    <w:right w:val="single" w:sz="8" w:space="0" w:color="auto"/>
                  </w:tcBorders>
                  <w:shd w:val="clear" w:color="000000" w:fill="FFFFFF"/>
                  <w:vAlign w:val="center"/>
                  <w:hideMark/>
                </w:tcPr>
                <w:p w14:paraId="077DE93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2CA19716" w14:textId="77777777" w:rsidTr="00CB4ACE">
              <w:trPr>
                <w:trHeight w:val="300"/>
              </w:trPr>
              <w:tc>
                <w:tcPr>
                  <w:tcW w:w="5740" w:type="dxa"/>
                  <w:tcBorders>
                    <w:top w:val="nil"/>
                    <w:left w:val="single" w:sz="8" w:space="0" w:color="auto"/>
                    <w:bottom w:val="single" w:sz="4" w:space="0" w:color="auto"/>
                    <w:right w:val="nil"/>
                  </w:tcBorders>
                  <w:shd w:val="clear" w:color="000000" w:fill="808080"/>
                  <w:vAlign w:val="center"/>
                  <w:hideMark/>
                </w:tcPr>
                <w:p w14:paraId="472B106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4) Primary Prevention</w:t>
                  </w:r>
                </w:p>
              </w:tc>
              <w:tc>
                <w:tcPr>
                  <w:tcW w:w="920" w:type="dxa"/>
                  <w:tcBorders>
                    <w:top w:val="nil"/>
                    <w:left w:val="nil"/>
                    <w:bottom w:val="single" w:sz="4" w:space="0" w:color="auto"/>
                    <w:right w:val="nil"/>
                  </w:tcBorders>
                  <w:shd w:val="clear" w:color="000000" w:fill="808080"/>
                  <w:vAlign w:val="center"/>
                  <w:hideMark/>
                </w:tcPr>
                <w:p w14:paraId="5A2060E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1320" w:type="dxa"/>
                  <w:tcBorders>
                    <w:top w:val="nil"/>
                    <w:left w:val="nil"/>
                    <w:bottom w:val="single" w:sz="4" w:space="0" w:color="auto"/>
                    <w:right w:val="nil"/>
                  </w:tcBorders>
                  <w:shd w:val="clear" w:color="000000" w:fill="808080"/>
                  <w:vAlign w:val="bottom"/>
                  <w:hideMark/>
                </w:tcPr>
                <w:p w14:paraId="273388C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single" w:sz="4" w:space="0" w:color="auto"/>
                    <w:right w:val="single" w:sz="8" w:space="0" w:color="auto"/>
                  </w:tcBorders>
                  <w:shd w:val="clear" w:color="000000" w:fill="808080"/>
                  <w:vAlign w:val="center"/>
                  <w:hideMark/>
                </w:tcPr>
                <w:p w14:paraId="7F1390A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336D2046" w14:textId="77777777" w:rsidTr="00CB4ACE">
              <w:trPr>
                <w:trHeight w:val="300"/>
              </w:trPr>
              <w:tc>
                <w:tcPr>
                  <w:tcW w:w="5740" w:type="dxa"/>
                  <w:tcBorders>
                    <w:top w:val="nil"/>
                    <w:left w:val="single" w:sz="8" w:space="0" w:color="auto"/>
                    <w:bottom w:val="nil"/>
                    <w:right w:val="nil"/>
                  </w:tcBorders>
                  <w:shd w:val="clear" w:color="000000" w:fill="A6A6A6"/>
                  <w:vAlign w:val="bottom"/>
                  <w:hideMark/>
                </w:tcPr>
                <w:p w14:paraId="4E2DEBDA" w14:textId="77777777" w:rsidR="00D129B3" w:rsidRPr="003E5C1C" w:rsidRDefault="00D129B3" w:rsidP="00CB4ACE">
                  <w:pPr>
                    <w:framePr w:hSpace="180" w:wrap="around" w:vAnchor="text" w:hAnchor="text" w:y="1"/>
                    <w:spacing w:after="0" w:line="240" w:lineRule="auto"/>
                    <w:ind w:firstLineChars="100" w:firstLine="221"/>
                    <w:suppressOverlap/>
                    <w:rPr>
                      <w:rFonts w:ascii="Calibri" w:eastAsia="Times New Roman" w:hAnsi="Calibri" w:cs="Calibri"/>
                      <w:b/>
                      <w:bCs/>
                      <w:color w:val="000000"/>
                    </w:rPr>
                  </w:pPr>
                  <w:r w:rsidRPr="003E5C1C">
                    <w:rPr>
                      <w:rFonts w:ascii="Calibri" w:eastAsia="Times New Roman" w:hAnsi="Calibri" w:cs="Calibri"/>
                      <w:b/>
                      <w:bCs/>
                      <w:color w:val="000000"/>
                    </w:rPr>
                    <w:t>4a) LDL-c levels</w:t>
                  </w:r>
                </w:p>
              </w:tc>
              <w:tc>
                <w:tcPr>
                  <w:tcW w:w="920" w:type="dxa"/>
                  <w:tcBorders>
                    <w:top w:val="nil"/>
                    <w:left w:val="nil"/>
                    <w:bottom w:val="nil"/>
                    <w:right w:val="nil"/>
                  </w:tcBorders>
                  <w:shd w:val="clear" w:color="000000" w:fill="A6A6A6"/>
                  <w:vAlign w:val="center"/>
                  <w:hideMark/>
                </w:tcPr>
                <w:p w14:paraId="52BDE143"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A6A6A6"/>
                  <w:vAlign w:val="bottom"/>
                  <w:hideMark/>
                </w:tcPr>
                <w:p w14:paraId="5977A3B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A6A6A6"/>
                  <w:vAlign w:val="center"/>
                  <w:hideMark/>
                </w:tcPr>
                <w:p w14:paraId="5DD0EEF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76D8F974" w14:textId="77777777" w:rsidTr="00CB4ACE">
              <w:trPr>
                <w:trHeight w:val="540"/>
              </w:trPr>
              <w:tc>
                <w:tcPr>
                  <w:tcW w:w="5740" w:type="dxa"/>
                  <w:tcBorders>
                    <w:top w:val="nil"/>
                    <w:left w:val="single" w:sz="8" w:space="0" w:color="auto"/>
                    <w:bottom w:val="single" w:sz="4" w:space="0" w:color="auto"/>
                    <w:right w:val="nil"/>
                  </w:tcBorders>
                  <w:shd w:val="clear" w:color="000000" w:fill="FFFFFF"/>
                  <w:vAlign w:val="center"/>
                  <w:hideMark/>
                </w:tcPr>
                <w:p w14:paraId="7C7BF864"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Family History premature ASCVD</w:t>
                  </w:r>
                </w:p>
              </w:tc>
              <w:tc>
                <w:tcPr>
                  <w:tcW w:w="920" w:type="dxa"/>
                  <w:tcBorders>
                    <w:top w:val="nil"/>
                    <w:left w:val="nil"/>
                    <w:bottom w:val="single" w:sz="4" w:space="0" w:color="auto"/>
                    <w:right w:val="nil"/>
                  </w:tcBorders>
                  <w:shd w:val="clear" w:color="000000" w:fill="FFFFFF"/>
                  <w:vAlign w:val="center"/>
                  <w:hideMark/>
                </w:tcPr>
                <w:p w14:paraId="3AF501CD"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single" w:sz="4" w:space="0" w:color="auto"/>
                    <w:right w:val="nil"/>
                  </w:tcBorders>
                  <w:shd w:val="clear" w:color="000000" w:fill="FFFFFF"/>
                  <w:vAlign w:val="center"/>
                  <w:hideMark/>
                </w:tcPr>
                <w:p w14:paraId="6452D77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single" w:sz="4" w:space="0" w:color="auto"/>
                    <w:right w:val="single" w:sz="8" w:space="0" w:color="auto"/>
                  </w:tcBorders>
                  <w:shd w:val="clear" w:color="000000" w:fill="FFFFFF"/>
                  <w:vAlign w:val="center"/>
                  <w:hideMark/>
                </w:tcPr>
                <w:p w14:paraId="59218AD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 (Immediate family member with MI or Angina &lt;50y)</w:t>
                  </w:r>
                </w:p>
              </w:tc>
            </w:tr>
            <w:tr w:rsidR="00D129B3" w:rsidRPr="003E5C1C" w14:paraId="5BFDBBB7" w14:textId="77777777" w:rsidTr="00CB4ACE">
              <w:trPr>
                <w:trHeight w:val="300"/>
              </w:trPr>
              <w:tc>
                <w:tcPr>
                  <w:tcW w:w="5740" w:type="dxa"/>
                  <w:tcBorders>
                    <w:top w:val="nil"/>
                    <w:left w:val="single" w:sz="8" w:space="0" w:color="auto"/>
                    <w:bottom w:val="nil"/>
                    <w:right w:val="nil"/>
                  </w:tcBorders>
                  <w:shd w:val="clear" w:color="000000" w:fill="A6A6A6"/>
                  <w:noWrap/>
                  <w:vAlign w:val="center"/>
                  <w:hideMark/>
                </w:tcPr>
                <w:p w14:paraId="7CE6C7AE" w14:textId="77777777" w:rsidR="00D129B3" w:rsidRPr="003E5C1C" w:rsidRDefault="00D129B3" w:rsidP="00CB4ACE">
                  <w:pPr>
                    <w:framePr w:hSpace="180" w:wrap="around" w:vAnchor="text" w:hAnchor="text" w:y="1"/>
                    <w:spacing w:after="0" w:line="240" w:lineRule="auto"/>
                    <w:ind w:firstLineChars="100" w:firstLine="221"/>
                    <w:suppressOverlap/>
                    <w:rPr>
                      <w:rFonts w:ascii="Calibri" w:eastAsia="Times New Roman" w:hAnsi="Calibri" w:cs="Calibri"/>
                      <w:b/>
                      <w:bCs/>
                      <w:color w:val="000000"/>
                    </w:rPr>
                  </w:pPr>
                  <w:r w:rsidRPr="003E5C1C">
                    <w:rPr>
                      <w:rFonts w:ascii="Calibri" w:eastAsia="Times New Roman" w:hAnsi="Calibri" w:cs="Calibri"/>
                      <w:b/>
                      <w:bCs/>
                      <w:color w:val="000000"/>
                    </w:rPr>
                    <w:t>4b) ASCVD Risk -- Risk-Enhancing Factors</w:t>
                  </w:r>
                </w:p>
              </w:tc>
              <w:tc>
                <w:tcPr>
                  <w:tcW w:w="920" w:type="dxa"/>
                  <w:tcBorders>
                    <w:top w:val="nil"/>
                    <w:left w:val="nil"/>
                    <w:bottom w:val="nil"/>
                    <w:right w:val="nil"/>
                  </w:tcBorders>
                  <w:shd w:val="clear" w:color="000000" w:fill="A6A6A6"/>
                  <w:noWrap/>
                  <w:vAlign w:val="center"/>
                  <w:hideMark/>
                </w:tcPr>
                <w:p w14:paraId="3C8757D2"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b/>
                      <w:bCs/>
                      <w:color w:val="000000"/>
                      <w:sz w:val="20"/>
                      <w:szCs w:val="20"/>
                    </w:rPr>
                  </w:pPr>
                  <w:r w:rsidRPr="003E5C1C">
                    <w:rPr>
                      <w:rFonts w:ascii="Calibri" w:eastAsia="Times New Roman" w:hAnsi="Calibri" w:cs="Calibri"/>
                      <w:b/>
                      <w:bCs/>
                      <w:color w:val="000000"/>
                      <w:sz w:val="20"/>
                      <w:szCs w:val="20"/>
                    </w:rPr>
                    <w:t>P</w:t>
                  </w:r>
                </w:p>
              </w:tc>
              <w:tc>
                <w:tcPr>
                  <w:tcW w:w="1320" w:type="dxa"/>
                  <w:tcBorders>
                    <w:top w:val="nil"/>
                    <w:left w:val="nil"/>
                    <w:bottom w:val="nil"/>
                    <w:right w:val="nil"/>
                  </w:tcBorders>
                  <w:shd w:val="clear" w:color="000000" w:fill="A6A6A6"/>
                  <w:noWrap/>
                  <w:vAlign w:val="center"/>
                  <w:hideMark/>
                </w:tcPr>
                <w:p w14:paraId="2F40E5A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b/>
                      <w:bCs/>
                      <w:color w:val="000000"/>
                    </w:rPr>
                  </w:pPr>
                  <w:r w:rsidRPr="003E5C1C">
                    <w:rPr>
                      <w:rFonts w:ascii="Calibri" w:eastAsia="Times New Roman" w:hAnsi="Calibri" w:cs="Calibri"/>
                      <w:b/>
                      <w:bCs/>
                      <w:color w:val="000000"/>
                    </w:rPr>
                    <w:t> </w:t>
                  </w:r>
                </w:p>
              </w:tc>
              <w:tc>
                <w:tcPr>
                  <w:tcW w:w="5420" w:type="dxa"/>
                  <w:tcBorders>
                    <w:top w:val="nil"/>
                    <w:left w:val="nil"/>
                    <w:bottom w:val="nil"/>
                    <w:right w:val="single" w:sz="8" w:space="0" w:color="auto"/>
                  </w:tcBorders>
                  <w:shd w:val="clear" w:color="000000" w:fill="A6A6A6"/>
                  <w:vAlign w:val="center"/>
                  <w:hideMark/>
                </w:tcPr>
                <w:p w14:paraId="67B6699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4AD143CD" w14:textId="77777777" w:rsidTr="00CB4ACE">
              <w:trPr>
                <w:trHeight w:val="540"/>
              </w:trPr>
              <w:tc>
                <w:tcPr>
                  <w:tcW w:w="5740" w:type="dxa"/>
                  <w:tcBorders>
                    <w:top w:val="nil"/>
                    <w:left w:val="single" w:sz="8" w:space="0" w:color="auto"/>
                    <w:bottom w:val="nil"/>
                    <w:right w:val="nil"/>
                  </w:tcBorders>
                  <w:shd w:val="clear" w:color="000000" w:fill="FFFFFF"/>
                  <w:vAlign w:val="center"/>
                  <w:hideMark/>
                </w:tcPr>
                <w:p w14:paraId="301750F8"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lastRenderedPageBreak/>
                    <w:t>Family History premature ASCVD</w:t>
                  </w:r>
                </w:p>
              </w:tc>
              <w:tc>
                <w:tcPr>
                  <w:tcW w:w="920" w:type="dxa"/>
                  <w:tcBorders>
                    <w:top w:val="nil"/>
                    <w:left w:val="nil"/>
                    <w:bottom w:val="nil"/>
                    <w:right w:val="nil"/>
                  </w:tcBorders>
                  <w:shd w:val="clear" w:color="000000" w:fill="FFFFFF"/>
                  <w:vAlign w:val="center"/>
                  <w:hideMark/>
                </w:tcPr>
                <w:p w14:paraId="098A0CBE"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vAlign w:val="center"/>
                  <w:hideMark/>
                </w:tcPr>
                <w:p w14:paraId="101795E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73DEF10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 (Immediate family member with MI or Angina &lt;50y)</w:t>
                  </w:r>
                </w:p>
              </w:tc>
            </w:tr>
            <w:tr w:rsidR="00D129B3" w:rsidRPr="003E5C1C" w14:paraId="2AF3C925" w14:textId="77777777" w:rsidTr="00CB4ACE">
              <w:trPr>
                <w:trHeight w:val="300"/>
              </w:trPr>
              <w:tc>
                <w:tcPr>
                  <w:tcW w:w="5740" w:type="dxa"/>
                  <w:tcBorders>
                    <w:top w:val="nil"/>
                    <w:left w:val="single" w:sz="8" w:space="0" w:color="auto"/>
                    <w:bottom w:val="nil"/>
                    <w:right w:val="nil"/>
                  </w:tcBorders>
                  <w:shd w:val="clear" w:color="000000" w:fill="D9D9D9"/>
                  <w:vAlign w:val="center"/>
                  <w:hideMark/>
                </w:tcPr>
                <w:p w14:paraId="5922FA65"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Primary hypercholesterolemia:</w:t>
                  </w:r>
                </w:p>
              </w:tc>
              <w:tc>
                <w:tcPr>
                  <w:tcW w:w="920" w:type="dxa"/>
                  <w:tcBorders>
                    <w:top w:val="nil"/>
                    <w:left w:val="nil"/>
                    <w:bottom w:val="nil"/>
                    <w:right w:val="nil"/>
                  </w:tcBorders>
                  <w:shd w:val="clear" w:color="000000" w:fill="D9D9D9"/>
                  <w:vAlign w:val="center"/>
                  <w:hideMark/>
                </w:tcPr>
                <w:p w14:paraId="2DECD640"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vAlign w:val="center"/>
                  <w:hideMark/>
                </w:tcPr>
                <w:p w14:paraId="71E41BC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D9D9D9"/>
                  <w:vAlign w:val="center"/>
                  <w:hideMark/>
                </w:tcPr>
                <w:p w14:paraId="5709B86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30E3DD22" w14:textId="77777777" w:rsidTr="00CB4ACE">
              <w:trPr>
                <w:trHeight w:val="300"/>
              </w:trPr>
              <w:tc>
                <w:tcPr>
                  <w:tcW w:w="5740" w:type="dxa"/>
                  <w:tcBorders>
                    <w:top w:val="nil"/>
                    <w:left w:val="single" w:sz="8" w:space="0" w:color="auto"/>
                    <w:bottom w:val="nil"/>
                    <w:right w:val="nil"/>
                  </w:tcBorders>
                  <w:shd w:val="clear" w:color="000000" w:fill="D9D9D9"/>
                  <w:vAlign w:val="center"/>
                  <w:hideMark/>
                </w:tcPr>
                <w:p w14:paraId="65784ABC"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LDL-c 160-189 mg/dL</w:t>
                  </w:r>
                </w:p>
              </w:tc>
              <w:tc>
                <w:tcPr>
                  <w:tcW w:w="920" w:type="dxa"/>
                  <w:tcBorders>
                    <w:top w:val="nil"/>
                    <w:left w:val="nil"/>
                    <w:bottom w:val="nil"/>
                    <w:right w:val="nil"/>
                  </w:tcBorders>
                  <w:shd w:val="clear" w:color="000000" w:fill="D9D9D9"/>
                  <w:vAlign w:val="center"/>
                  <w:hideMark/>
                </w:tcPr>
                <w:p w14:paraId="52D7F446"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vAlign w:val="center"/>
                  <w:hideMark/>
                </w:tcPr>
                <w:p w14:paraId="41C3037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7167A9A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Cholesterol - Low - Density Lipoprotein (LDL) &amp; Triglycerides</w:t>
                  </w:r>
                </w:p>
              </w:tc>
            </w:tr>
            <w:tr w:rsidR="00D129B3" w:rsidRPr="003E5C1C" w14:paraId="1CE7646D" w14:textId="77777777" w:rsidTr="00CB4ACE">
              <w:trPr>
                <w:trHeight w:val="300"/>
              </w:trPr>
              <w:tc>
                <w:tcPr>
                  <w:tcW w:w="5740" w:type="dxa"/>
                  <w:tcBorders>
                    <w:top w:val="nil"/>
                    <w:left w:val="single" w:sz="8" w:space="0" w:color="auto"/>
                    <w:bottom w:val="nil"/>
                    <w:right w:val="nil"/>
                  </w:tcBorders>
                  <w:shd w:val="clear" w:color="000000" w:fill="D9D9D9"/>
                  <w:vAlign w:val="center"/>
                  <w:hideMark/>
                </w:tcPr>
                <w:p w14:paraId="30A73233"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non-HDL-c 190-219 mg/dL</w:t>
                  </w:r>
                </w:p>
              </w:tc>
              <w:tc>
                <w:tcPr>
                  <w:tcW w:w="920" w:type="dxa"/>
                  <w:tcBorders>
                    <w:top w:val="nil"/>
                    <w:left w:val="nil"/>
                    <w:bottom w:val="nil"/>
                    <w:right w:val="nil"/>
                  </w:tcBorders>
                  <w:shd w:val="clear" w:color="000000" w:fill="D9D9D9"/>
                  <w:vAlign w:val="center"/>
                  <w:hideMark/>
                </w:tcPr>
                <w:p w14:paraId="193DA7F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vAlign w:val="center"/>
                  <w:hideMark/>
                </w:tcPr>
                <w:p w14:paraId="6D62907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794D133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Cholesterol - Total, Cholesterol - High-Density Lipoprotein (HDL) </w:t>
                  </w:r>
                </w:p>
              </w:tc>
            </w:tr>
            <w:tr w:rsidR="00D129B3" w:rsidRPr="003E5C1C" w14:paraId="27EC25B4"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740460AB"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Metabolic Syndrome (≥3/5)</w:t>
                  </w:r>
                </w:p>
              </w:tc>
              <w:tc>
                <w:tcPr>
                  <w:tcW w:w="920" w:type="dxa"/>
                  <w:tcBorders>
                    <w:top w:val="nil"/>
                    <w:left w:val="nil"/>
                    <w:bottom w:val="nil"/>
                    <w:right w:val="nil"/>
                  </w:tcBorders>
                  <w:shd w:val="clear" w:color="000000" w:fill="FFFFFF"/>
                  <w:vAlign w:val="center"/>
                  <w:hideMark/>
                </w:tcPr>
                <w:p w14:paraId="66FD6D5D"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235982B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3BF7AE7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43E9BFB2"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296F3F83"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Waist circumference (Men: ≥102 cm; Women: ≥88 cm)</w:t>
                  </w:r>
                </w:p>
              </w:tc>
              <w:tc>
                <w:tcPr>
                  <w:tcW w:w="920" w:type="dxa"/>
                  <w:tcBorders>
                    <w:top w:val="nil"/>
                    <w:left w:val="nil"/>
                    <w:bottom w:val="nil"/>
                    <w:right w:val="nil"/>
                  </w:tcBorders>
                  <w:shd w:val="clear" w:color="000000" w:fill="FFFFFF"/>
                  <w:vAlign w:val="center"/>
                  <w:hideMark/>
                </w:tcPr>
                <w:p w14:paraId="2BE44541"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6F419F1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EXAM</w:t>
                  </w:r>
                </w:p>
              </w:tc>
              <w:tc>
                <w:tcPr>
                  <w:tcW w:w="5420" w:type="dxa"/>
                  <w:tcBorders>
                    <w:top w:val="nil"/>
                    <w:left w:val="nil"/>
                    <w:bottom w:val="nil"/>
                    <w:right w:val="single" w:sz="8" w:space="0" w:color="auto"/>
                  </w:tcBorders>
                  <w:shd w:val="clear" w:color="000000" w:fill="FFFFFF"/>
                  <w:vAlign w:val="center"/>
                  <w:hideMark/>
                </w:tcPr>
                <w:p w14:paraId="4380EBF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Body Measures </w:t>
                  </w:r>
                </w:p>
              </w:tc>
            </w:tr>
            <w:tr w:rsidR="00D129B3" w:rsidRPr="003E5C1C" w14:paraId="1B540855"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796BDC63"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Serum Triglycerides (≥150 mg/dL)</w:t>
                  </w:r>
                </w:p>
              </w:tc>
              <w:tc>
                <w:tcPr>
                  <w:tcW w:w="920" w:type="dxa"/>
                  <w:tcBorders>
                    <w:top w:val="nil"/>
                    <w:left w:val="nil"/>
                    <w:bottom w:val="nil"/>
                    <w:right w:val="nil"/>
                  </w:tcBorders>
                  <w:shd w:val="clear" w:color="000000" w:fill="FFFFFF"/>
                  <w:vAlign w:val="center"/>
                  <w:hideMark/>
                </w:tcPr>
                <w:p w14:paraId="39F2C22B"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310FBD5E"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43E09F8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Cholesterol - Low - Density Lipoprotein (LDL) &amp; Triglycerides</w:t>
                  </w:r>
                </w:p>
              </w:tc>
            </w:tr>
            <w:tr w:rsidR="00D129B3" w:rsidRPr="003E5C1C" w14:paraId="38004EB0"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01D07103"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Low HDL-c (Men: &lt;40 mg/dL; Women: &lt;50 mg/dL)</w:t>
                  </w:r>
                </w:p>
              </w:tc>
              <w:tc>
                <w:tcPr>
                  <w:tcW w:w="920" w:type="dxa"/>
                  <w:tcBorders>
                    <w:top w:val="nil"/>
                    <w:left w:val="nil"/>
                    <w:bottom w:val="nil"/>
                    <w:right w:val="nil"/>
                  </w:tcBorders>
                  <w:shd w:val="clear" w:color="000000" w:fill="FFFFFF"/>
                  <w:vAlign w:val="center"/>
                  <w:hideMark/>
                </w:tcPr>
                <w:p w14:paraId="348C222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7F08315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785A371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Cholesterol - High-Density Lipoprotein (HDL) </w:t>
                  </w:r>
                </w:p>
              </w:tc>
            </w:tr>
            <w:tr w:rsidR="00D129B3" w:rsidRPr="003E5C1C" w14:paraId="2B026417" w14:textId="77777777" w:rsidTr="00CB4ACE">
              <w:trPr>
                <w:trHeight w:val="300"/>
              </w:trPr>
              <w:tc>
                <w:tcPr>
                  <w:tcW w:w="5740" w:type="dxa"/>
                  <w:vMerge w:val="restart"/>
                  <w:tcBorders>
                    <w:top w:val="nil"/>
                    <w:left w:val="single" w:sz="8" w:space="0" w:color="auto"/>
                    <w:bottom w:val="nil"/>
                    <w:right w:val="nil"/>
                  </w:tcBorders>
                  <w:shd w:val="clear" w:color="000000" w:fill="FFFFFF"/>
                  <w:vAlign w:val="center"/>
                  <w:hideMark/>
                </w:tcPr>
                <w:p w14:paraId="7ED78DFA"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Hypertension (SBP ≥140 mmHg, DBP ≥90 mmHg, or BP-lowering medication use)</w:t>
                  </w:r>
                </w:p>
              </w:tc>
              <w:tc>
                <w:tcPr>
                  <w:tcW w:w="920" w:type="dxa"/>
                  <w:vMerge w:val="restart"/>
                  <w:tcBorders>
                    <w:top w:val="nil"/>
                    <w:left w:val="nil"/>
                    <w:bottom w:val="nil"/>
                    <w:right w:val="nil"/>
                  </w:tcBorders>
                  <w:shd w:val="clear" w:color="000000" w:fill="FFFFFF"/>
                  <w:vAlign w:val="center"/>
                  <w:hideMark/>
                </w:tcPr>
                <w:p w14:paraId="2E6E9A12"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64196DE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3E99BD5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Blood Pressure and Cholesterol</w:t>
                  </w:r>
                </w:p>
              </w:tc>
            </w:tr>
            <w:tr w:rsidR="00D129B3" w:rsidRPr="003E5C1C" w14:paraId="26149F06" w14:textId="77777777" w:rsidTr="00CB4ACE">
              <w:trPr>
                <w:trHeight w:val="300"/>
              </w:trPr>
              <w:tc>
                <w:tcPr>
                  <w:tcW w:w="5740" w:type="dxa"/>
                  <w:vMerge/>
                  <w:tcBorders>
                    <w:top w:val="nil"/>
                    <w:left w:val="single" w:sz="8" w:space="0" w:color="auto"/>
                    <w:bottom w:val="nil"/>
                    <w:right w:val="nil"/>
                  </w:tcBorders>
                  <w:vAlign w:val="center"/>
                  <w:hideMark/>
                </w:tcPr>
                <w:p w14:paraId="15C68EE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vMerge/>
                  <w:tcBorders>
                    <w:top w:val="nil"/>
                    <w:left w:val="nil"/>
                    <w:bottom w:val="nil"/>
                    <w:right w:val="nil"/>
                  </w:tcBorders>
                  <w:vAlign w:val="center"/>
                  <w:hideMark/>
                </w:tcPr>
                <w:p w14:paraId="7D646DB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1320" w:type="dxa"/>
                  <w:tcBorders>
                    <w:top w:val="nil"/>
                    <w:left w:val="nil"/>
                    <w:bottom w:val="nil"/>
                    <w:right w:val="nil"/>
                  </w:tcBorders>
                  <w:shd w:val="clear" w:color="000000" w:fill="FFFFFF"/>
                  <w:vAlign w:val="center"/>
                  <w:hideMark/>
                </w:tcPr>
                <w:p w14:paraId="10D1B16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EXAM</w:t>
                  </w:r>
                </w:p>
              </w:tc>
              <w:tc>
                <w:tcPr>
                  <w:tcW w:w="5420" w:type="dxa"/>
                  <w:tcBorders>
                    <w:top w:val="nil"/>
                    <w:left w:val="nil"/>
                    <w:bottom w:val="nil"/>
                    <w:right w:val="single" w:sz="8" w:space="0" w:color="auto"/>
                  </w:tcBorders>
                  <w:shd w:val="clear" w:color="000000" w:fill="FFFFFF"/>
                  <w:vAlign w:val="center"/>
                  <w:hideMark/>
                </w:tcPr>
                <w:p w14:paraId="578F0DE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Blood Pressure</w:t>
                  </w:r>
                </w:p>
              </w:tc>
            </w:tr>
            <w:tr w:rsidR="00D129B3" w:rsidRPr="003E5C1C" w14:paraId="05DA22C1"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00256FB1"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Fasting Plasma Glucose (≥100 mg/dL or medication)</w:t>
                  </w:r>
                </w:p>
              </w:tc>
              <w:tc>
                <w:tcPr>
                  <w:tcW w:w="920" w:type="dxa"/>
                  <w:tcBorders>
                    <w:top w:val="nil"/>
                    <w:left w:val="nil"/>
                    <w:bottom w:val="nil"/>
                    <w:right w:val="nil"/>
                  </w:tcBorders>
                  <w:shd w:val="clear" w:color="000000" w:fill="FFFFFF"/>
                  <w:vAlign w:val="center"/>
                  <w:hideMark/>
                </w:tcPr>
                <w:p w14:paraId="373A89DB"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5BC7650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0B7AECC6"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Plasma Fasting Glucose</w:t>
                  </w:r>
                </w:p>
              </w:tc>
            </w:tr>
            <w:tr w:rsidR="00D129B3" w:rsidRPr="003E5C1C" w14:paraId="343D511E" w14:textId="77777777" w:rsidTr="00CB4ACE">
              <w:trPr>
                <w:trHeight w:val="255"/>
              </w:trPr>
              <w:tc>
                <w:tcPr>
                  <w:tcW w:w="5740" w:type="dxa"/>
                  <w:vMerge w:val="restart"/>
                  <w:tcBorders>
                    <w:top w:val="nil"/>
                    <w:left w:val="single" w:sz="8" w:space="0" w:color="auto"/>
                    <w:bottom w:val="nil"/>
                    <w:right w:val="nil"/>
                  </w:tcBorders>
                  <w:shd w:val="clear" w:color="000000" w:fill="D9D9D9"/>
                  <w:vAlign w:val="center"/>
                  <w:hideMark/>
                </w:tcPr>
                <w:p w14:paraId="1C73E9C8"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CKD (eGFR &lt;60 mL/min/1.73m</w:t>
                  </w:r>
                  <w:r w:rsidRPr="003E5C1C">
                    <w:rPr>
                      <w:rFonts w:ascii="Calibri" w:eastAsia="Times New Roman" w:hAnsi="Calibri" w:cs="Calibri"/>
                      <w:color w:val="000000"/>
                      <w:sz w:val="20"/>
                      <w:szCs w:val="20"/>
                      <w:vertAlign w:val="superscript"/>
                    </w:rPr>
                    <w:t>2</w:t>
                  </w:r>
                  <w:r w:rsidRPr="003E5C1C">
                    <w:rPr>
                      <w:rFonts w:ascii="Calibri" w:eastAsia="Times New Roman" w:hAnsi="Calibri" w:cs="Calibri"/>
                      <w:color w:val="000000"/>
                      <w:sz w:val="20"/>
                      <w:szCs w:val="20"/>
                    </w:rPr>
                    <w:t xml:space="preserve"> or albuminuria and not treated with dialysis or kidney transplantation)</w:t>
                  </w:r>
                </w:p>
              </w:tc>
              <w:tc>
                <w:tcPr>
                  <w:tcW w:w="920" w:type="dxa"/>
                  <w:tcBorders>
                    <w:top w:val="nil"/>
                    <w:left w:val="nil"/>
                    <w:bottom w:val="nil"/>
                    <w:right w:val="nil"/>
                  </w:tcBorders>
                  <w:shd w:val="clear" w:color="000000" w:fill="D9D9D9"/>
                  <w:vAlign w:val="center"/>
                  <w:hideMark/>
                </w:tcPr>
                <w:p w14:paraId="25DC62D1"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hideMark/>
                </w:tcPr>
                <w:p w14:paraId="12C7B88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12FDF8C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Standard Biochemistry Profile</w:t>
                  </w:r>
                </w:p>
              </w:tc>
            </w:tr>
            <w:tr w:rsidR="00D129B3" w:rsidRPr="003E5C1C" w14:paraId="6A845318" w14:textId="77777777" w:rsidTr="00CB4ACE">
              <w:trPr>
                <w:trHeight w:val="255"/>
              </w:trPr>
              <w:tc>
                <w:tcPr>
                  <w:tcW w:w="5740" w:type="dxa"/>
                  <w:vMerge/>
                  <w:tcBorders>
                    <w:top w:val="nil"/>
                    <w:left w:val="single" w:sz="8" w:space="0" w:color="auto"/>
                    <w:bottom w:val="nil"/>
                    <w:right w:val="nil"/>
                  </w:tcBorders>
                  <w:vAlign w:val="center"/>
                  <w:hideMark/>
                </w:tcPr>
                <w:p w14:paraId="2F5DC48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tcBorders>
                    <w:top w:val="nil"/>
                    <w:left w:val="nil"/>
                    <w:bottom w:val="nil"/>
                    <w:right w:val="nil"/>
                  </w:tcBorders>
                  <w:shd w:val="clear" w:color="000000" w:fill="D9D9D9"/>
                  <w:vAlign w:val="center"/>
                  <w:hideMark/>
                </w:tcPr>
                <w:p w14:paraId="3B49B767"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hideMark/>
                </w:tcPr>
                <w:p w14:paraId="160DB90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D9D9D9"/>
                  <w:vAlign w:val="center"/>
                  <w:hideMark/>
                </w:tcPr>
                <w:p w14:paraId="277FBD0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Albumin &amp; Creatinine - Urine </w:t>
                  </w:r>
                </w:p>
              </w:tc>
            </w:tr>
            <w:tr w:rsidR="00D129B3" w:rsidRPr="003E5C1C" w14:paraId="0EB8BC40" w14:textId="77777777" w:rsidTr="00CB4ACE">
              <w:trPr>
                <w:trHeight w:val="255"/>
              </w:trPr>
              <w:tc>
                <w:tcPr>
                  <w:tcW w:w="5740" w:type="dxa"/>
                  <w:vMerge/>
                  <w:tcBorders>
                    <w:top w:val="nil"/>
                    <w:left w:val="single" w:sz="8" w:space="0" w:color="auto"/>
                    <w:bottom w:val="nil"/>
                    <w:right w:val="nil"/>
                  </w:tcBorders>
                  <w:vAlign w:val="center"/>
                  <w:hideMark/>
                </w:tcPr>
                <w:p w14:paraId="7174A27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tcBorders>
                    <w:top w:val="nil"/>
                    <w:left w:val="nil"/>
                    <w:bottom w:val="nil"/>
                    <w:right w:val="nil"/>
                  </w:tcBorders>
                  <w:shd w:val="clear" w:color="000000" w:fill="D9D9D9"/>
                  <w:vAlign w:val="center"/>
                  <w:hideMark/>
                </w:tcPr>
                <w:p w14:paraId="2289E53C"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D9D9D9"/>
                  <w:vAlign w:val="center"/>
                  <w:hideMark/>
                </w:tcPr>
                <w:p w14:paraId="1F2BEA3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D9D9D9"/>
                  <w:vAlign w:val="center"/>
                  <w:hideMark/>
                </w:tcPr>
                <w:p w14:paraId="72C51B6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Kidney Conditions - Urology</w:t>
                  </w:r>
                </w:p>
              </w:tc>
            </w:tr>
            <w:tr w:rsidR="00D129B3" w:rsidRPr="003E5C1C" w14:paraId="677EA84F"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601A8C89"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History of preeclampsia</w:t>
                  </w:r>
                </w:p>
              </w:tc>
              <w:tc>
                <w:tcPr>
                  <w:tcW w:w="920" w:type="dxa"/>
                  <w:tcBorders>
                    <w:top w:val="nil"/>
                    <w:left w:val="nil"/>
                    <w:bottom w:val="nil"/>
                    <w:right w:val="nil"/>
                  </w:tcBorders>
                  <w:shd w:val="clear" w:color="000000" w:fill="FFFFFF"/>
                  <w:vAlign w:val="center"/>
                  <w:hideMark/>
                </w:tcPr>
                <w:p w14:paraId="758E40D4"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FFFFFF"/>
                  <w:vAlign w:val="center"/>
                  <w:hideMark/>
                </w:tcPr>
                <w:p w14:paraId="6D59F5C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2F36E1BC"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0C848C1E" w14:textId="77777777" w:rsidTr="00CB4ACE">
              <w:trPr>
                <w:trHeight w:val="255"/>
              </w:trPr>
              <w:tc>
                <w:tcPr>
                  <w:tcW w:w="5740" w:type="dxa"/>
                  <w:tcBorders>
                    <w:top w:val="nil"/>
                    <w:left w:val="single" w:sz="8" w:space="0" w:color="auto"/>
                    <w:bottom w:val="nil"/>
                    <w:right w:val="nil"/>
                  </w:tcBorders>
                  <w:shd w:val="clear" w:color="000000" w:fill="D9D9D9"/>
                  <w:vAlign w:val="center"/>
                  <w:hideMark/>
                </w:tcPr>
                <w:p w14:paraId="010BD5B1"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Premature menopause (&lt;40y)</w:t>
                  </w:r>
                </w:p>
              </w:tc>
              <w:tc>
                <w:tcPr>
                  <w:tcW w:w="920" w:type="dxa"/>
                  <w:tcBorders>
                    <w:top w:val="nil"/>
                    <w:left w:val="nil"/>
                    <w:bottom w:val="nil"/>
                    <w:right w:val="nil"/>
                  </w:tcBorders>
                  <w:shd w:val="clear" w:color="000000" w:fill="D9D9D9"/>
                  <w:vAlign w:val="center"/>
                  <w:hideMark/>
                </w:tcPr>
                <w:p w14:paraId="3E11857F"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D9D9D9"/>
                  <w:vAlign w:val="center"/>
                  <w:hideMark/>
                </w:tcPr>
                <w:p w14:paraId="413B3AB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D9D9D9"/>
                  <w:vAlign w:val="center"/>
                  <w:hideMark/>
                </w:tcPr>
                <w:p w14:paraId="184790A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Reproductive Health</w:t>
                  </w:r>
                </w:p>
              </w:tc>
            </w:tr>
            <w:tr w:rsidR="00D129B3" w:rsidRPr="003E5C1C" w14:paraId="423BECB3"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540018A3"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Chronic inflammatory disorders</w:t>
                  </w:r>
                </w:p>
              </w:tc>
              <w:tc>
                <w:tcPr>
                  <w:tcW w:w="920" w:type="dxa"/>
                  <w:tcBorders>
                    <w:top w:val="nil"/>
                    <w:left w:val="nil"/>
                    <w:bottom w:val="nil"/>
                    <w:right w:val="nil"/>
                  </w:tcBorders>
                  <w:shd w:val="clear" w:color="000000" w:fill="FFFFFF"/>
                  <w:vAlign w:val="center"/>
                  <w:hideMark/>
                </w:tcPr>
                <w:p w14:paraId="22BE18D5"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vAlign w:val="center"/>
                  <w:hideMark/>
                </w:tcPr>
                <w:p w14:paraId="71CB614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225F6F4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79D50996" w14:textId="77777777" w:rsidTr="00CB4ACE">
              <w:trPr>
                <w:trHeight w:val="270"/>
              </w:trPr>
              <w:tc>
                <w:tcPr>
                  <w:tcW w:w="5740" w:type="dxa"/>
                  <w:tcBorders>
                    <w:top w:val="nil"/>
                    <w:left w:val="single" w:sz="8" w:space="0" w:color="auto"/>
                    <w:bottom w:val="nil"/>
                    <w:right w:val="nil"/>
                  </w:tcBorders>
                  <w:shd w:val="clear" w:color="000000" w:fill="FFFFFF"/>
                  <w:vAlign w:val="center"/>
                  <w:hideMark/>
                </w:tcPr>
                <w:p w14:paraId="0FF471F0"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Rheumatoid arthritis</w:t>
                  </w:r>
                </w:p>
              </w:tc>
              <w:tc>
                <w:tcPr>
                  <w:tcW w:w="920" w:type="dxa"/>
                  <w:tcBorders>
                    <w:top w:val="nil"/>
                    <w:left w:val="nil"/>
                    <w:bottom w:val="nil"/>
                    <w:right w:val="nil"/>
                  </w:tcBorders>
                  <w:shd w:val="clear" w:color="000000" w:fill="FFFFFF"/>
                  <w:vAlign w:val="center"/>
                  <w:hideMark/>
                </w:tcPr>
                <w:p w14:paraId="2FC3AEAC"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0110D5F4"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7DECA07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w:t>
                  </w:r>
                </w:p>
              </w:tc>
            </w:tr>
            <w:tr w:rsidR="00D129B3" w:rsidRPr="003E5C1C" w14:paraId="0DFB4785" w14:textId="77777777" w:rsidTr="00CB4ACE">
              <w:trPr>
                <w:trHeight w:val="270"/>
              </w:trPr>
              <w:tc>
                <w:tcPr>
                  <w:tcW w:w="5740" w:type="dxa"/>
                  <w:tcBorders>
                    <w:top w:val="nil"/>
                    <w:left w:val="single" w:sz="8" w:space="0" w:color="auto"/>
                    <w:bottom w:val="nil"/>
                    <w:right w:val="nil"/>
                  </w:tcBorders>
                  <w:shd w:val="clear" w:color="000000" w:fill="FFFFFF"/>
                  <w:vAlign w:val="center"/>
                  <w:hideMark/>
                </w:tcPr>
                <w:p w14:paraId="7CDDBDBE"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Psoriasis</w:t>
                  </w:r>
                </w:p>
              </w:tc>
              <w:tc>
                <w:tcPr>
                  <w:tcW w:w="920" w:type="dxa"/>
                  <w:tcBorders>
                    <w:top w:val="nil"/>
                    <w:left w:val="nil"/>
                    <w:bottom w:val="nil"/>
                    <w:right w:val="nil"/>
                  </w:tcBorders>
                  <w:shd w:val="clear" w:color="000000" w:fill="FFFFFF"/>
                  <w:vAlign w:val="center"/>
                  <w:hideMark/>
                </w:tcPr>
                <w:p w14:paraId="61C524C6"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I</w:t>
                  </w:r>
                </w:p>
              </w:tc>
              <w:tc>
                <w:tcPr>
                  <w:tcW w:w="1320" w:type="dxa"/>
                  <w:tcBorders>
                    <w:top w:val="nil"/>
                    <w:left w:val="nil"/>
                    <w:bottom w:val="nil"/>
                    <w:right w:val="nil"/>
                  </w:tcBorders>
                  <w:shd w:val="clear" w:color="000000" w:fill="FFFFFF"/>
                  <w:vAlign w:val="center"/>
                  <w:hideMark/>
                </w:tcPr>
                <w:p w14:paraId="6320986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74842E9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Medical Conditions (question dropped after 2013-2014)</w:t>
                  </w:r>
                </w:p>
              </w:tc>
            </w:tr>
            <w:tr w:rsidR="00D129B3" w:rsidRPr="003E5C1C" w14:paraId="16A41841" w14:textId="77777777" w:rsidTr="00CB4ACE">
              <w:trPr>
                <w:trHeight w:val="270"/>
              </w:trPr>
              <w:tc>
                <w:tcPr>
                  <w:tcW w:w="5740" w:type="dxa"/>
                  <w:tcBorders>
                    <w:top w:val="nil"/>
                    <w:left w:val="single" w:sz="8" w:space="0" w:color="auto"/>
                    <w:bottom w:val="nil"/>
                    <w:right w:val="nil"/>
                  </w:tcBorders>
                  <w:shd w:val="clear" w:color="000000" w:fill="FFFFFF"/>
                  <w:vAlign w:val="center"/>
                  <w:hideMark/>
                </w:tcPr>
                <w:p w14:paraId="7BF380DF"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Chronic HIV</w:t>
                  </w:r>
                </w:p>
              </w:tc>
              <w:tc>
                <w:tcPr>
                  <w:tcW w:w="920" w:type="dxa"/>
                  <w:tcBorders>
                    <w:top w:val="nil"/>
                    <w:left w:val="nil"/>
                    <w:bottom w:val="nil"/>
                    <w:right w:val="nil"/>
                  </w:tcBorders>
                  <w:shd w:val="clear" w:color="000000" w:fill="FFFFFF"/>
                  <w:vAlign w:val="center"/>
                  <w:hideMark/>
                </w:tcPr>
                <w:p w14:paraId="47A3D6C2"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vAlign w:val="center"/>
                  <w:hideMark/>
                </w:tcPr>
                <w:p w14:paraId="7372B21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noWrap/>
                  <w:vAlign w:val="bottom"/>
                  <w:hideMark/>
                </w:tcPr>
                <w:p w14:paraId="1227A9A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HIV Antibody Test (HIV-positive yes/no only)</w:t>
                  </w:r>
                </w:p>
              </w:tc>
            </w:tr>
            <w:tr w:rsidR="00D129B3" w:rsidRPr="003E5C1C" w14:paraId="6591EADD" w14:textId="77777777" w:rsidTr="00CB4ACE">
              <w:trPr>
                <w:trHeight w:val="300"/>
              </w:trPr>
              <w:tc>
                <w:tcPr>
                  <w:tcW w:w="5740" w:type="dxa"/>
                  <w:tcBorders>
                    <w:top w:val="nil"/>
                    <w:left w:val="single" w:sz="8" w:space="0" w:color="auto"/>
                    <w:bottom w:val="nil"/>
                    <w:right w:val="nil"/>
                  </w:tcBorders>
                  <w:shd w:val="clear" w:color="000000" w:fill="D9D9D9"/>
                  <w:vAlign w:val="center"/>
                  <w:hideMark/>
                </w:tcPr>
                <w:p w14:paraId="30432C03"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High-risk Race (South Asian)</w:t>
                  </w:r>
                </w:p>
              </w:tc>
              <w:tc>
                <w:tcPr>
                  <w:tcW w:w="920" w:type="dxa"/>
                  <w:tcBorders>
                    <w:top w:val="nil"/>
                    <w:left w:val="nil"/>
                    <w:bottom w:val="nil"/>
                    <w:right w:val="nil"/>
                  </w:tcBorders>
                  <w:shd w:val="clear" w:color="000000" w:fill="D9D9D9"/>
                  <w:vAlign w:val="center"/>
                  <w:hideMark/>
                </w:tcPr>
                <w:p w14:paraId="1BFC43FC"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D9D9D9"/>
                  <w:vAlign w:val="center"/>
                  <w:hideMark/>
                </w:tcPr>
                <w:p w14:paraId="37C8ECA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D9D9D9"/>
                  <w:vAlign w:val="center"/>
                  <w:hideMark/>
                </w:tcPr>
                <w:p w14:paraId="322C38F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4A083372"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29EC14A7" w14:textId="77777777" w:rsidR="00D129B3" w:rsidRPr="003E5C1C" w:rsidRDefault="00D129B3" w:rsidP="00CB4ACE">
                  <w:pPr>
                    <w:framePr w:hSpace="180" w:wrap="around" w:vAnchor="text" w:hAnchor="text" w:y="1"/>
                    <w:spacing w:after="0" w:line="240" w:lineRule="auto"/>
                    <w:ind w:firstLineChars="300" w:firstLine="6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Lipid/Biomarkers</w:t>
                  </w:r>
                </w:p>
              </w:tc>
              <w:tc>
                <w:tcPr>
                  <w:tcW w:w="920" w:type="dxa"/>
                  <w:tcBorders>
                    <w:top w:val="nil"/>
                    <w:left w:val="nil"/>
                    <w:bottom w:val="nil"/>
                    <w:right w:val="nil"/>
                  </w:tcBorders>
                  <w:shd w:val="clear" w:color="000000" w:fill="FFFFFF"/>
                  <w:vAlign w:val="center"/>
                  <w:hideMark/>
                </w:tcPr>
                <w:p w14:paraId="60E10184"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P</w:t>
                  </w:r>
                </w:p>
              </w:tc>
              <w:tc>
                <w:tcPr>
                  <w:tcW w:w="1320" w:type="dxa"/>
                  <w:tcBorders>
                    <w:top w:val="nil"/>
                    <w:left w:val="nil"/>
                    <w:bottom w:val="nil"/>
                    <w:right w:val="nil"/>
                  </w:tcBorders>
                  <w:shd w:val="clear" w:color="000000" w:fill="FFFFFF"/>
                  <w:vAlign w:val="center"/>
                  <w:hideMark/>
                </w:tcPr>
                <w:p w14:paraId="3303FD4B"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3B190601"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502B3698" w14:textId="77777777" w:rsidTr="00CB4ACE">
              <w:trPr>
                <w:trHeight w:val="300"/>
              </w:trPr>
              <w:tc>
                <w:tcPr>
                  <w:tcW w:w="5740" w:type="dxa"/>
                  <w:vMerge w:val="restart"/>
                  <w:tcBorders>
                    <w:top w:val="nil"/>
                    <w:left w:val="single" w:sz="8" w:space="0" w:color="auto"/>
                    <w:bottom w:val="nil"/>
                    <w:right w:val="nil"/>
                  </w:tcBorders>
                  <w:shd w:val="clear" w:color="000000" w:fill="FFFFFF"/>
                  <w:vAlign w:val="center"/>
                  <w:hideMark/>
                </w:tcPr>
                <w:p w14:paraId="37AA8983"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Persistent Hypertriglyceridemia (≥175 mg/dL and Fibrates or Niacin ≥3 months)</w:t>
                  </w:r>
                </w:p>
              </w:tc>
              <w:tc>
                <w:tcPr>
                  <w:tcW w:w="920" w:type="dxa"/>
                  <w:tcBorders>
                    <w:top w:val="nil"/>
                    <w:left w:val="nil"/>
                    <w:bottom w:val="nil"/>
                    <w:right w:val="nil"/>
                  </w:tcBorders>
                  <w:shd w:val="clear" w:color="000000" w:fill="FFFFFF"/>
                  <w:vAlign w:val="center"/>
                  <w:hideMark/>
                </w:tcPr>
                <w:p w14:paraId="246A2C0D"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Y</w:t>
                  </w:r>
                </w:p>
              </w:tc>
              <w:tc>
                <w:tcPr>
                  <w:tcW w:w="1320" w:type="dxa"/>
                  <w:tcBorders>
                    <w:top w:val="nil"/>
                    <w:left w:val="nil"/>
                    <w:bottom w:val="nil"/>
                    <w:right w:val="nil"/>
                  </w:tcBorders>
                  <w:shd w:val="clear" w:color="000000" w:fill="FFFFFF"/>
                  <w:vAlign w:val="center"/>
                  <w:hideMark/>
                </w:tcPr>
                <w:p w14:paraId="1828B0D0"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6C13D6F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Cholesterol - Low - Density Lipoprotein (LDL) &amp; Triglycerides</w:t>
                  </w:r>
                </w:p>
              </w:tc>
            </w:tr>
            <w:tr w:rsidR="00D129B3" w:rsidRPr="003E5C1C" w14:paraId="50C3F098" w14:textId="77777777" w:rsidTr="00CB4ACE">
              <w:trPr>
                <w:trHeight w:val="300"/>
              </w:trPr>
              <w:tc>
                <w:tcPr>
                  <w:tcW w:w="5740" w:type="dxa"/>
                  <w:vMerge/>
                  <w:tcBorders>
                    <w:top w:val="nil"/>
                    <w:left w:val="single" w:sz="8" w:space="0" w:color="auto"/>
                    <w:bottom w:val="nil"/>
                    <w:right w:val="nil"/>
                  </w:tcBorders>
                  <w:vAlign w:val="center"/>
                  <w:hideMark/>
                </w:tcPr>
                <w:p w14:paraId="24DA562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p>
              </w:tc>
              <w:tc>
                <w:tcPr>
                  <w:tcW w:w="920" w:type="dxa"/>
                  <w:tcBorders>
                    <w:top w:val="nil"/>
                    <w:left w:val="nil"/>
                    <w:bottom w:val="nil"/>
                    <w:right w:val="nil"/>
                  </w:tcBorders>
                  <w:shd w:val="clear" w:color="000000" w:fill="FFFFFF"/>
                  <w:vAlign w:val="center"/>
                  <w:hideMark/>
                </w:tcPr>
                <w:p w14:paraId="67274C49"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1320" w:type="dxa"/>
                  <w:tcBorders>
                    <w:top w:val="nil"/>
                    <w:left w:val="nil"/>
                    <w:bottom w:val="nil"/>
                    <w:right w:val="nil"/>
                  </w:tcBorders>
                  <w:shd w:val="clear" w:color="000000" w:fill="FFFFFF"/>
                  <w:vAlign w:val="center"/>
                  <w:hideMark/>
                </w:tcPr>
                <w:p w14:paraId="69A688F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QUEX</w:t>
                  </w:r>
                </w:p>
              </w:tc>
              <w:tc>
                <w:tcPr>
                  <w:tcW w:w="5420" w:type="dxa"/>
                  <w:tcBorders>
                    <w:top w:val="nil"/>
                    <w:left w:val="nil"/>
                    <w:bottom w:val="nil"/>
                    <w:right w:val="single" w:sz="8" w:space="0" w:color="auto"/>
                  </w:tcBorders>
                  <w:shd w:val="clear" w:color="000000" w:fill="FFFFFF"/>
                  <w:vAlign w:val="center"/>
                  <w:hideMark/>
                </w:tcPr>
                <w:p w14:paraId="34E1AD59"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Prescription Medications</w:t>
                  </w:r>
                </w:p>
              </w:tc>
            </w:tr>
            <w:tr w:rsidR="00D129B3" w:rsidRPr="003E5C1C" w14:paraId="3E770980"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07F1D914"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Apolipoprotein B ≥130 mg/dL</w:t>
                  </w:r>
                </w:p>
              </w:tc>
              <w:tc>
                <w:tcPr>
                  <w:tcW w:w="920" w:type="dxa"/>
                  <w:tcBorders>
                    <w:top w:val="nil"/>
                    <w:left w:val="nil"/>
                    <w:bottom w:val="nil"/>
                    <w:right w:val="nil"/>
                  </w:tcBorders>
                  <w:shd w:val="clear" w:color="000000" w:fill="FFFFFF"/>
                  <w:vAlign w:val="center"/>
                  <w:hideMark/>
                </w:tcPr>
                <w:p w14:paraId="64219048"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I</w:t>
                  </w:r>
                </w:p>
              </w:tc>
              <w:tc>
                <w:tcPr>
                  <w:tcW w:w="1320" w:type="dxa"/>
                  <w:tcBorders>
                    <w:top w:val="nil"/>
                    <w:left w:val="nil"/>
                    <w:bottom w:val="nil"/>
                    <w:right w:val="nil"/>
                  </w:tcBorders>
                  <w:shd w:val="clear" w:color="000000" w:fill="FFFFFF"/>
                  <w:vAlign w:val="center"/>
                  <w:hideMark/>
                </w:tcPr>
                <w:p w14:paraId="76A906F3"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4D7C8E97"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Apolipoprotein B  (11-12 through 15-16 cycles only)</w:t>
                  </w:r>
                </w:p>
              </w:tc>
            </w:tr>
            <w:tr w:rsidR="00D129B3" w:rsidRPr="003E5C1C" w14:paraId="74C274AA"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77B45AC0"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hsCRP ≥2.0 mg/dL</w:t>
                  </w:r>
                </w:p>
              </w:tc>
              <w:tc>
                <w:tcPr>
                  <w:tcW w:w="920" w:type="dxa"/>
                  <w:tcBorders>
                    <w:top w:val="nil"/>
                    <w:left w:val="nil"/>
                    <w:bottom w:val="nil"/>
                    <w:right w:val="nil"/>
                  </w:tcBorders>
                  <w:shd w:val="clear" w:color="000000" w:fill="FFFFFF"/>
                  <w:vAlign w:val="center"/>
                  <w:hideMark/>
                </w:tcPr>
                <w:p w14:paraId="5D0A5D20"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I</w:t>
                  </w:r>
                </w:p>
              </w:tc>
              <w:tc>
                <w:tcPr>
                  <w:tcW w:w="1320" w:type="dxa"/>
                  <w:tcBorders>
                    <w:top w:val="nil"/>
                    <w:left w:val="nil"/>
                    <w:bottom w:val="nil"/>
                    <w:right w:val="nil"/>
                  </w:tcBorders>
                  <w:shd w:val="clear" w:color="000000" w:fill="FFFFFF"/>
                  <w:vAlign w:val="center"/>
                  <w:hideMark/>
                </w:tcPr>
                <w:p w14:paraId="71A38BAF"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LAB</w:t>
                  </w:r>
                </w:p>
              </w:tc>
              <w:tc>
                <w:tcPr>
                  <w:tcW w:w="5420" w:type="dxa"/>
                  <w:tcBorders>
                    <w:top w:val="nil"/>
                    <w:left w:val="nil"/>
                    <w:bottom w:val="nil"/>
                    <w:right w:val="single" w:sz="8" w:space="0" w:color="auto"/>
                  </w:tcBorders>
                  <w:shd w:val="clear" w:color="000000" w:fill="FFFFFF"/>
                  <w:vAlign w:val="center"/>
                  <w:hideMark/>
                </w:tcPr>
                <w:p w14:paraId="2A32AA7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High-Sensitivity C-Reactive Protein (15-16 and 17-18 only)</w:t>
                  </w:r>
                </w:p>
              </w:tc>
            </w:tr>
            <w:tr w:rsidR="00D129B3" w:rsidRPr="003E5C1C" w14:paraId="466EC653" w14:textId="77777777" w:rsidTr="00CB4ACE">
              <w:trPr>
                <w:trHeight w:val="300"/>
              </w:trPr>
              <w:tc>
                <w:tcPr>
                  <w:tcW w:w="5740" w:type="dxa"/>
                  <w:tcBorders>
                    <w:top w:val="nil"/>
                    <w:left w:val="single" w:sz="8" w:space="0" w:color="auto"/>
                    <w:bottom w:val="nil"/>
                    <w:right w:val="nil"/>
                  </w:tcBorders>
                  <w:shd w:val="clear" w:color="000000" w:fill="FFFFFF"/>
                  <w:vAlign w:val="center"/>
                  <w:hideMark/>
                </w:tcPr>
                <w:p w14:paraId="63028B00"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Ankle-brachial Index (ABI) &lt;0.9</w:t>
                  </w:r>
                </w:p>
              </w:tc>
              <w:tc>
                <w:tcPr>
                  <w:tcW w:w="920" w:type="dxa"/>
                  <w:tcBorders>
                    <w:top w:val="nil"/>
                    <w:left w:val="nil"/>
                    <w:bottom w:val="nil"/>
                    <w:right w:val="nil"/>
                  </w:tcBorders>
                  <w:shd w:val="clear" w:color="000000" w:fill="FFFFFF"/>
                  <w:vAlign w:val="center"/>
                  <w:hideMark/>
                </w:tcPr>
                <w:p w14:paraId="739B78E8"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nil"/>
                    <w:right w:val="nil"/>
                  </w:tcBorders>
                  <w:shd w:val="clear" w:color="000000" w:fill="FFFFFF"/>
                  <w:vAlign w:val="center"/>
                  <w:hideMark/>
                </w:tcPr>
                <w:p w14:paraId="2E7A4A6D"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nil"/>
                    <w:right w:val="single" w:sz="8" w:space="0" w:color="auto"/>
                  </w:tcBorders>
                  <w:shd w:val="clear" w:color="000000" w:fill="FFFFFF"/>
                  <w:vAlign w:val="center"/>
                  <w:hideMark/>
                </w:tcPr>
                <w:p w14:paraId="2486120A"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52EBBD91" w14:textId="77777777" w:rsidTr="00CB4ACE">
              <w:trPr>
                <w:trHeight w:val="570"/>
              </w:trPr>
              <w:tc>
                <w:tcPr>
                  <w:tcW w:w="5740" w:type="dxa"/>
                  <w:tcBorders>
                    <w:top w:val="nil"/>
                    <w:left w:val="single" w:sz="8" w:space="0" w:color="auto"/>
                    <w:bottom w:val="single" w:sz="8" w:space="0" w:color="auto"/>
                    <w:right w:val="nil"/>
                  </w:tcBorders>
                  <w:shd w:val="clear" w:color="000000" w:fill="FFFFFF"/>
                  <w:vAlign w:val="center"/>
                  <w:hideMark/>
                </w:tcPr>
                <w:p w14:paraId="22BB3CF0" w14:textId="77777777" w:rsidR="00D129B3" w:rsidRPr="003E5C1C" w:rsidRDefault="00D129B3" w:rsidP="00CB4ACE">
                  <w:pPr>
                    <w:framePr w:hSpace="180" w:wrap="around" w:vAnchor="text" w:hAnchor="text" w:y="1"/>
                    <w:spacing w:after="0" w:line="240" w:lineRule="auto"/>
                    <w:ind w:firstLineChars="500" w:firstLine="10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Lipoprotein A (Men: ≥50 mg/dL; Women ≥50 mg/dL with hypercholesterolemia)</w:t>
                  </w:r>
                </w:p>
              </w:tc>
              <w:tc>
                <w:tcPr>
                  <w:tcW w:w="920" w:type="dxa"/>
                  <w:tcBorders>
                    <w:top w:val="nil"/>
                    <w:left w:val="nil"/>
                    <w:bottom w:val="single" w:sz="8" w:space="0" w:color="auto"/>
                    <w:right w:val="nil"/>
                  </w:tcBorders>
                  <w:shd w:val="clear" w:color="000000" w:fill="FFFFFF"/>
                  <w:vAlign w:val="center"/>
                  <w:hideMark/>
                </w:tcPr>
                <w:p w14:paraId="041D946A" w14:textId="77777777" w:rsidR="00D129B3" w:rsidRPr="003E5C1C" w:rsidRDefault="00D129B3" w:rsidP="00CB4ACE">
                  <w:pPr>
                    <w:framePr w:hSpace="180" w:wrap="around" w:vAnchor="text" w:hAnchor="text" w:y="1"/>
                    <w:spacing w:after="0" w:line="240" w:lineRule="auto"/>
                    <w:suppressOverlap/>
                    <w:jc w:val="center"/>
                    <w:rPr>
                      <w:rFonts w:ascii="Calibri" w:eastAsia="Times New Roman" w:hAnsi="Calibri" w:cs="Calibri"/>
                      <w:color w:val="000000"/>
                      <w:sz w:val="20"/>
                      <w:szCs w:val="20"/>
                    </w:rPr>
                  </w:pPr>
                  <w:r w:rsidRPr="003E5C1C">
                    <w:rPr>
                      <w:rFonts w:ascii="Calibri" w:eastAsia="Times New Roman" w:hAnsi="Calibri" w:cs="Calibri"/>
                      <w:color w:val="000000"/>
                      <w:sz w:val="20"/>
                      <w:szCs w:val="20"/>
                    </w:rPr>
                    <w:t>N</w:t>
                  </w:r>
                </w:p>
              </w:tc>
              <w:tc>
                <w:tcPr>
                  <w:tcW w:w="1320" w:type="dxa"/>
                  <w:tcBorders>
                    <w:top w:val="nil"/>
                    <w:left w:val="nil"/>
                    <w:bottom w:val="single" w:sz="8" w:space="0" w:color="auto"/>
                    <w:right w:val="nil"/>
                  </w:tcBorders>
                  <w:shd w:val="clear" w:color="000000" w:fill="FFFFFF"/>
                  <w:vAlign w:val="center"/>
                  <w:hideMark/>
                </w:tcPr>
                <w:p w14:paraId="7DD35615"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c>
                <w:tcPr>
                  <w:tcW w:w="5420" w:type="dxa"/>
                  <w:tcBorders>
                    <w:top w:val="nil"/>
                    <w:left w:val="nil"/>
                    <w:bottom w:val="single" w:sz="8" w:space="0" w:color="auto"/>
                    <w:right w:val="single" w:sz="8" w:space="0" w:color="auto"/>
                  </w:tcBorders>
                  <w:shd w:val="clear" w:color="000000" w:fill="FFFFFF"/>
                  <w:vAlign w:val="center"/>
                  <w:hideMark/>
                </w:tcPr>
                <w:p w14:paraId="2F9A70F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w:t>
                  </w:r>
                </w:p>
              </w:tc>
            </w:tr>
            <w:tr w:rsidR="00D129B3" w:rsidRPr="003E5C1C" w14:paraId="44763E07"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38D452B8"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Abbreviations:</w:t>
                  </w:r>
                </w:p>
              </w:tc>
            </w:tr>
            <w:tr w:rsidR="00D129B3" w:rsidRPr="003E5C1C" w14:paraId="4B8A3890"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07365C93"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ASCVD: Atherosclerotic Cardiovascular Disease</w:t>
                  </w:r>
                </w:p>
              </w:tc>
            </w:tr>
            <w:tr w:rsidR="00D129B3" w:rsidRPr="003E5C1C" w14:paraId="33C9CEBB"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10A8B8E4"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CABG: Coronary Artery Bypass Graft</w:t>
                  </w:r>
                </w:p>
              </w:tc>
            </w:tr>
            <w:tr w:rsidR="00D129B3" w:rsidRPr="003E5C1C" w14:paraId="62A91E78"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600CB5D9"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PCI: Percutaneous Coronary Intervention</w:t>
                  </w:r>
                </w:p>
              </w:tc>
            </w:tr>
            <w:tr w:rsidR="00D129B3" w:rsidRPr="003E5C1C" w14:paraId="41EDC8AC"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0D02DD3B"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eGFR: estimated Glomerular Filtration Rate</w:t>
                  </w:r>
                </w:p>
              </w:tc>
            </w:tr>
            <w:tr w:rsidR="00D129B3" w:rsidRPr="003E5C1C" w14:paraId="3997E837"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5A3836B7"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HF: Heart Failure</w:t>
                  </w:r>
                </w:p>
              </w:tc>
            </w:tr>
            <w:tr w:rsidR="00D129B3" w:rsidRPr="003E5C1C" w14:paraId="0B22DD93"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13B468BD"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CKD: Chronic Kidney Disease</w:t>
                  </w:r>
                </w:p>
              </w:tc>
            </w:tr>
            <w:tr w:rsidR="00D129B3" w:rsidRPr="003E5C1C" w14:paraId="7E1E72D4"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539B0BBF" w14:textId="6BE7A5D8"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lastRenderedPageBreak/>
                    <w:t>HIV: Human Immunodeficiency Virus</w:t>
                  </w:r>
                </w:p>
              </w:tc>
            </w:tr>
            <w:tr w:rsidR="00D129B3" w:rsidRPr="003E5C1C" w14:paraId="2BFBFC70"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7128240D"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hsCRP: High-Sensitivity C-Reactive Protein</w:t>
                  </w:r>
                </w:p>
              </w:tc>
            </w:tr>
            <w:tr w:rsidR="00D129B3" w:rsidRPr="003E5C1C" w14:paraId="6D26ED22"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7D1015F2" w14:textId="77777777" w:rsidR="00D129B3" w:rsidRPr="003E5C1C" w:rsidRDefault="00D129B3" w:rsidP="00CB4ACE">
                  <w:pPr>
                    <w:framePr w:hSpace="180" w:wrap="around" w:vAnchor="text" w:hAnchor="text" w:y="1"/>
                    <w:spacing w:after="0" w:line="240" w:lineRule="auto"/>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NHANES availability:</w:t>
                  </w:r>
                </w:p>
              </w:tc>
            </w:tr>
            <w:tr w:rsidR="00D129B3" w:rsidRPr="003E5C1C" w14:paraId="5F5B998B"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096413E3"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Y= Yes: available across all cycles 2011-2018</w:t>
                  </w:r>
                </w:p>
              </w:tc>
            </w:tr>
            <w:tr w:rsidR="00D129B3" w:rsidRPr="003E5C1C" w14:paraId="201D7CF9"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581E5E88"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 xml:space="preserve">P= Partial or proxy data available </w:t>
                  </w:r>
                </w:p>
              </w:tc>
            </w:tr>
            <w:tr w:rsidR="00D129B3" w:rsidRPr="003E5C1C" w14:paraId="687775E2"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26500FB6" w14:textId="77777777"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I= Intermittent data available across cycles</w:t>
                  </w:r>
                </w:p>
              </w:tc>
            </w:tr>
            <w:tr w:rsidR="00D129B3" w:rsidRPr="003E5C1C" w14:paraId="6E4852A8" w14:textId="77777777" w:rsidTr="00CB4ACE">
              <w:trPr>
                <w:trHeight w:val="300"/>
              </w:trPr>
              <w:tc>
                <w:tcPr>
                  <w:tcW w:w="13400" w:type="dxa"/>
                  <w:gridSpan w:val="4"/>
                  <w:tcBorders>
                    <w:top w:val="nil"/>
                    <w:left w:val="nil"/>
                    <w:bottom w:val="nil"/>
                    <w:right w:val="nil"/>
                  </w:tcBorders>
                  <w:shd w:val="clear" w:color="auto" w:fill="auto"/>
                  <w:noWrap/>
                  <w:vAlign w:val="bottom"/>
                  <w:hideMark/>
                </w:tcPr>
                <w:p w14:paraId="0C05B0BD" w14:textId="77777777" w:rsidR="00D129B3"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r w:rsidRPr="003E5C1C">
                    <w:rPr>
                      <w:rFonts w:ascii="Calibri" w:eastAsia="Times New Roman" w:hAnsi="Calibri" w:cs="Calibri"/>
                      <w:color w:val="000000"/>
                      <w:sz w:val="20"/>
                      <w:szCs w:val="20"/>
                    </w:rPr>
                    <w:t>N =No: data not available</w:t>
                  </w:r>
                </w:p>
                <w:p w14:paraId="49F244DB" w14:textId="30D239F1" w:rsidR="00D129B3" w:rsidRPr="003E5C1C" w:rsidRDefault="00D129B3" w:rsidP="00CB4ACE">
                  <w:pPr>
                    <w:framePr w:hSpace="180" w:wrap="around" w:vAnchor="text" w:hAnchor="text" w:y="1"/>
                    <w:spacing w:after="0" w:line="240" w:lineRule="auto"/>
                    <w:ind w:firstLineChars="200" w:firstLine="400"/>
                    <w:suppressOverlap/>
                    <w:rPr>
                      <w:rFonts w:ascii="Calibri" w:eastAsia="Times New Roman" w:hAnsi="Calibri" w:cs="Calibri"/>
                      <w:color w:val="000000"/>
                      <w:sz w:val="20"/>
                      <w:szCs w:val="20"/>
                    </w:rPr>
                  </w:pPr>
                </w:p>
              </w:tc>
            </w:tr>
          </w:tbl>
          <w:p w14:paraId="6797F3B6" w14:textId="77777777" w:rsidR="00D129B3" w:rsidRPr="00CF7BB7" w:rsidDel="003E5C1C" w:rsidRDefault="00D129B3" w:rsidP="00CB4ACE">
            <w:pPr>
              <w:rPr>
                <w:rFonts w:ascii="Times New Roman" w:eastAsia="Times New Roman" w:hAnsi="Times New Roman" w:cs="Times New Roman"/>
                <w:color w:val="000000"/>
                <w:sz w:val="24"/>
                <w:szCs w:val="24"/>
              </w:rPr>
            </w:pPr>
          </w:p>
        </w:tc>
      </w:tr>
    </w:tbl>
    <w:p w14:paraId="20592629" w14:textId="77777777" w:rsidR="00AD5842" w:rsidRDefault="00D129B3" w:rsidP="00324E8B">
      <w:pPr>
        <w:spacing w:after="0" w:line="240" w:lineRule="auto"/>
        <w:ind w:right="1440"/>
        <w:rPr>
          <w:rFonts w:ascii="Times New Roman" w:hAnsi="Times New Roman" w:cs="Times New Roman"/>
          <w:sz w:val="24"/>
          <w:szCs w:val="24"/>
        </w:rPr>
        <w:sectPr w:rsidR="00AD5842" w:rsidSect="00D129B3">
          <w:pgSz w:w="15840" w:h="12240" w:orient="landscape"/>
          <w:pgMar w:top="720" w:right="720" w:bottom="720" w:left="720" w:header="720" w:footer="720" w:gutter="0"/>
          <w:cols w:space="720"/>
          <w:docGrid w:linePitch="360"/>
        </w:sectPr>
      </w:pPr>
      <w:r w:rsidRPr="00332B9F">
        <w:rPr>
          <w:rFonts w:ascii="Times New Roman" w:hAnsi="Times New Roman" w:cs="Times New Roman"/>
          <w:sz w:val="24"/>
          <w:szCs w:val="24"/>
        </w:rPr>
        <w:lastRenderedPageBreak/>
        <w:fldChar w:fldCharType="end"/>
      </w:r>
    </w:p>
    <w:p w14:paraId="768585EC" w14:textId="77777777" w:rsidR="001D6800" w:rsidRDefault="00AD5842" w:rsidP="00AD5842">
      <w:pPr>
        <w:spacing w:after="0" w:line="240" w:lineRule="auto"/>
        <w:rPr>
          <w:rFonts w:ascii="Times New Roman" w:eastAsia="Times New Roman" w:hAnsi="Times New Roman" w:cs="Times New Roman"/>
          <w:b/>
          <w:bCs/>
          <w:color w:val="000000"/>
          <w:sz w:val="24"/>
          <w:szCs w:val="24"/>
        </w:rPr>
      </w:pPr>
      <w:r w:rsidRPr="00AD5842">
        <w:rPr>
          <w:rFonts w:ascii="Times New Roman" w:eastAsia="Times New Roman" w:hAnsi="Times New Roman" w:cs="Times New Roman"/>
          <w:b/>
          <w:bCs/>
          <w:color w:val="000000"/>
          <w:sz w:val="24"/>
          <w:szCs w:val="24"/>
        </w:rPr>
        <w:lastRenderedPageBreak/>
        <w:t>Supplemental Table 3. Concordance and Discordance between Statin Therapy Recommendations: 2013 &amp; 2018 Guidelines -- NHANES 2011-2018</w:t>
      </w:r>
    </w:p>
    <w:p w14:paraId="62C50F8C" w14:textId="0FE24534" w:rsidR="00AD5842" w:rsidRPr="00AD5842" w:rsidRDefault="00AD5842" w:rsidP="00AD5842">
      <w:pPr>
        <w:spacing w:after="0" w:line="240" w:lineRule="auto"/>
        <w:rPr>
          <w:rFonts w:ascii="Times New Roman" w:eastAsia="Times New Roman" w:hAnsi="Times New Roman" w:cs="Times New Roman"/>
          <w:b/>
          <w:bCs/>
          <w:color w:val="000000"/>
          <w:sz w:val="24"/>
          <w:szCs w:val="24"/>
        </w:rPr>
      </w:pPr>
      <w:r>
        <w:fldChar w:fldCharType="begin"/>
      </w:r>
      <w:r>
        <w:instrText xml:space="preserve"> LINK Excel.Sheet.12 "\\\\cdc.gov\\project\\NCCDPHP_ESB_Stats_CKG2\\nhanes4\\CHOL\\AHA2013Guidelines\\AHA_2018_CholGL_Update\\AHA_ACC_CholGLs_Comparison_NHANES_2011_2018_10262022.xlsx" "Table_S3!R2C1:R12C4" \a \f 4 \h  \* MERGEFORMAT </w:instrText>
      </w:r>
      <w:r>
        <w:fldChar w:fldCharType="separate"/>
      </w:r>
    </w:p>
    <w:tbl>
      <w:tblPr>
        <w:tblW w:w="7704" w:type="dxa"/>
        <w:tblLook w:val="04A0" w:firstRow="1" w:lastRow="0" w:firstColumn="1" w:lastColumn="0" w:noHBand="0" w:noVBand="1"/>
      </w:tblPr>
      <w:tblGrid>
        <w:gridCol w:w="4716"/>
        <w:gridCol w:w="996"/>
        <w:gridCol w:w="996"/>
        <w:gridCol w:w="996"/>
      </w:tblGrid>
      <w:tr w:rsidR="00AD5842" w:rsidRPr="00AD5842" w14:paraId="21B59958" w14:textId="77777777" w:rsidTr="00AD5842">
        <w:trPr>
          <w:trHeight w:val="288"/>
        </w:trPr>
        <w:tc>
          <w:tcPr>
            <w:tcW w:w="4716" w:type="dxa"/>
            <w:tcBorders>
              <w:top w:val="nil"/>
              <w:left w:val="nil"/>
              <w:bottom w:val="single" w:sz="4" w:space="0" w:color="auto"/>
              <w:right w:val="nil"/>
            </w:tcBorders>
            <w:shd w:val="clear" w:color="auto" w:fill="auto"/>
            <w:noWrap/>
            <w:vAlign w:val="bottom"/>
            <w:hideMark/>
          </w:tcPr>
          <w:p w14:paraId="68C32598" w14:textId="2B792D21"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Concordance</w:t>
            </w:r>
          </w:p>
        </w:tc>
        <w:tc>
          <w:tcPr>
            <w:tcW w:w="996" w:type="dxa"/>
            <w:tcBorders>
              <w:top w:val="nil"/>
              <w:left w:val="nil"/>
              <w:bottom w:val="single" w:sz="4" w:space="0" w:color="auto"/>
              <w:right w:val="nil"/>
            </w:tcBorders>
            <w:shd w:val="clear" w:color="auto" w:fill="auto"/>
            <w:noWrap/>
            <w:vAlign w:val="bottom"/>
            <w:hideMark/>
          </w:tcPr>
          <w:p w14:paraId="218633DA"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w:t>
            </w:r>
          </w:p>
        </w:tc>
        <w:tc>
          <w:tcPr>
            <w:tcW w:w="996" w:type="dxa"/>
            <w:tcBorders>
              <w:top w:val="nil"/>
              <w:left w:val="nil"/>
              <w:bottom w:val="single" w:sz="4" w:space="0" w:color="auto"/>
              <w:right w:val="nil"/>
            </w:tcBorders>
            <w:shd w:val="clear" w:color="auto" w:fill="auto"/>
            <w:noWrap/>
            <w:vAlign w:val="bottom"/>
            <w:hideMark/>
          </w:tcPr>
          <w:p w14:paraId="348000CC"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(se)</w:t>
            </w:r>
          </w:p>
        </w:tc>
        <w:tc>
          <w:tcPr>
            <w:tcW w:w="996" w:type="dxa"/>
            <w:tcBorders>
              <w:top w:val="nil"/>
              <w:left w:val="nil"/>
              <w:bottom w:val="single" w:sz="4" w:space="0" w:color="auto"/>
              <w:right w:val="nil"/>
            </w:tcBorders>
            <w:shd w:val="clear" w:color="auto" w:fill="auto"/>
            <w:noWrap/>
            <w:vAlign w:val="bottom"/>
            <w:hideMark/>
          </w:tcPr>
          <w:p w14:paraId="2DAB5A57"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N</w:t>
            </w:r>
          </w:p>
        </w:tc>
      </w:tr>
      <w:tr w:rsidR="00AD5842" w:rsidRPr="00AD5842" w14:paraId="26789EAE" w14:textId="77777777" w:rsidTr="00AD5842">
        <w:trPr>
          <w:trHeight w:val="288"/>
        </w:trPr>
        <w:tc>
          <w:tcPr>
            <w:tcW w:w="4716" w:type="dxa"/>
            <w:tcBorders>
              <w:top w:val="nil"/>
              <w:left w:val="nil"/>
              <w:bottom w:val="nil"/>
              <w:right w:val="nil"/>
            </w:tcBorders>
            <w:shd w:val="clear" w:color="auto" w:fill="auto"/>
            <w:noWrap/>
            <w:vAlign w:val="bottom"/>
            <w:hideMark/>
          </w:tcPr>
          <w:p w14:paraId="4EC8815C"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Concordant</w:t>
            </w:r>
          </w:p>
        </w:tc>
        <w:tc>
          <w:tcPr>
            <w:tcW w:w="996" w:type="dxa"/>
            <w:tcBorders>
              <w:top w:val="nil"/>
              <w:left w:val="nil"/>
              <w:bottom w:val="nil"/>
              <w:right w:val="nil"/>
            </w:tcBorders>
            <w:shd w:val="clear" w:color="auto" w:fill="auto"/>
            <w:noWrap/>
            <w:vAlign w:val="bottom"/>
            <w:hideMark/>
          </w:tcPr>
          <w:p w14:paraId="7D178FB1"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75.8 </w:t>
            </w:r>
          </w:p>
        </w:tc>
        <w:tc>
          <w:tcPr>
            <w:tcW w:w="996" w:type="dxa"/>
            <w:tcBorders>
              <w:top w:val="nil"/>
              <w:left w:val="nil"/>
              <w:bottom w:val="nil"/>
              <w:right w:val="nil"/>
            </w:tcBorders>
            <w:shd w:val="clear" w:color="auto" w:fill="auto"/>
            <w:noWrap/>
            <w:vAlign w:val="bottom"/>
            <w:hideMark/>
          </w:tcPr>
          <w:p w14:paraId="0BF08160"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(0.7)</w:t>
            </w:r>
          </w:p>
        </w:tc>
        <w:tc>
          <w:tcPr>
            <w:tcW w:w="996" w:type="dxa"/>
            <w:tcBorders>
              <w:top w:val="nil"/>
              <w:left w:val="nil"/>
              <w:bottom w:val="nil"/>
              <w:right w:val="nil"/>
            </w:tcBorders>
            <w:shd w:val="clear" w:color="auto" w:fill="auto"/>
            <w:noWrap/>
            <w:vAlign w:val="bottom"/>
            <w:hideMark/>
          </w:tcPr>
          <w:p w14:paraId="249FEDF5"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175.4</w:t>
            </w:r>
          </w:p>
        </w:tc>
      </w:tr>
      <w:tr w:rsidR="00AD5842" w:rsidRPr="00AD5842" w14:paraId="3D16E0EA" w14:textId="77777777" w:rsidTr="00AD5842">
        <w:trPr>
          <w:trHeight w:val="288"/>
        </w:trPr>
        <w:tc>
          <w:tcPr>
            <w:tcW w:w="4716" w:type="dxa"/>
            <w:tcBorders>
              <w:top w:val="nil"/>
              <w:left w:val="nil"/>
              <w:bottom w:val="nil"/>
              <w:right w:val="nil"/>
            </w:tcBorders>
            <w:shd w:val="clear" w:color="auto" w:fill="auto"/>
            <w:noWrap/>
            <w:vAlign w:val="bottom"/>
            <w:hideMark/>
          </w:tcPr>
          <w:p w14:paraId="7C6C4868" w14:textId="77777777" w:rsidR="00AD5842" w:rsidRPr="00AD5842" w:rsidRDefault="00AD5842" w:rsidP="00AD5842">
            <w:pPr>
              <w:spacing w:after="0" w:line="240" w:lineRule="auto"/>
              <w:ind w:firstLineChars="100" w:firstLine="24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Neither Recommended</w:t>
            </w:r>
          </w:p>
        </w:tc>
        <w:tc>
          <w:tcPr>
            <w:tcW w:w="996" w:type="dxa"/>
            <w:tcBorders>
              <w:top w:val="nil"/>
              <w:left w:val="nil"/>
              <w:bottom w:val="nil"/>
              <w:right w:val="nil"/>
            </w:tcBorders>
            <w:shd w:val="clear" w:color="auto" w:fill="auto"/>
            <w:noWrap/>
            <w:vAlign w:val="bottom"/>
            <w:hideMark/>
          </w:tcPr>
          <w:p w14:paraId="6122BDC2"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73.8 </w:t>
            </w:r>
          </w:p>
        </w:tc>
        <w:tc>
          <w:tcPr>
            <w:tcW w:w="996" w:type="dxa"/>
            <w:tcBorders>
              <w:top w:val="nil"/>
              <w:left w:val="nil"/>
              <w:bottom w:val="nil"/>
              <w:right w:val="nil"/>
            </w:tcBorders>
            <w:shd w:val="clear" w:color="auto" w:fill="auto"/>
            <w:noWrap/>
            <w:vAlign w:val="bottom"/>
            <w:hideMark/>
          </w:tcPr>
          <w:p w14:paraId="0CD69E9C"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(0.9)</w:t>
            </w:r>
          </w:p>
        </w:tc>
        <w:tc>
          <w:tcPr>
            <w:tcW w:w="996" w:type="dxa"/>
            <w:tcBorders>
              <w:top w:val="nil"/>
              <w:left w:val="nil"/>
              <w:bottom w:val="nil"/>
              <w:right w:val="nil"/>
            </w:tcBorders>
            <w:shd w:val="clear" w:color="auto" w:fill="auto"/>
            <w:noWrap/>
            <w:vAlign w:val="bottom"/>
            <w:hideMark/>
          </w:tcPr>
          <w:p w14:paraId="208F8610"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129.5</w:t>
            </w:r>
          </w:p>
        </w:tc>
      </w:tr>
      <w:tr w:rsidR="00AD5842" w:rsidRPr="00AD5842" w14:paraId="1CB62E98" w14:textId="77777777" w:rsidTr="00AD5842">
        <w:trPr>
          <w:trHeight w:val="288"/>
        </w:trPr>
        <w:tc>
          <w:tcPr>
            <w:tcW w:w="4716" w:type="dxa"/>
            <w:tcBorders>
              <w:top w:val="nil"/>
              <w:left w:val="nil"/>
              <w:bottom w:val="nil"/>
              <w:right w:val="nil"/>
            </w:tcBorders>
            <w:shd w:val="clear" w:color="auto" w:fill="auto"/>
            <w:noWrap/>
            <w:vAlign w:val="bottom"/>
            <w:hideMark/>
          </w:tcPr>
          <w:p w14:paraId="31BF4754" w14:textId="77777777" w:rsidR="00AD5842" w:rsidRPr="00AD5842" w:rsidRDefault="00AD5842" w:rsidP="00AD5842">
            <w:pPr>
              <w:spacing w:after="0" w:line="240" w:lineRule="auto"/>
              <w:ind w:firstLineChars="100" w:firstLine="24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Both Recommended</w:t>
            </w:r>
          </w:p>
        </w:tc>
        <w:tc>
          <w:tcPr>
            <w:tcW w:w="996" w:type="dxa"/>
            <w:tcBorders>
              <w:top w:val="nil"/>
              <w:left w:val="nil"/>
              <w:bottom w:val="nil"/>
              <w:right w:val="nil"/>
            </w:tcBorders>
            <w:shd w:val="clear" w:color="auto" w:fill="auto"/>
            <w:noWrap/>
            <w:vAlign w:val="bottom"/>
            <w:hideMark/>
          </w:tcPr>
          <w:p w14:paraId="12201E96"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26.2 </w:t>
            </w:r>
          </w:p>
        </w:tc>
        <w:tc>
          <w:tcPr>
            <w:tcW w:w="996" w:type="dxa"/>
            <w:tcBorders>
              <w:top w:val="nil"/>
              <w:left w:val="nil"/>
              <w:bottom w:val="nil"/>
              <w:right w:val="nil"/>
            </w:tcBorders>
            <w:shd w:val="clear" w:color="auto" w:fill="auto"/>
            <w:noWrap/>
            <w:vAlign w:val="bottom"/>
            <w:hideMark/>
          </w:tcPr>
          <w:p w14:paraId="75421563"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(0.9)</w:t>
            </w:r>
          </w:p>
        </w:tc>
        <w:tc>
          <w:tcPr>
            <w:tcW w:w="996" w:type="dxa"/>
            <w:tcBorders>
              <w:top w:val="nil"/>
              <w:left w:val="nil"/>
              <w:bottom w:val="nil"/>
              <w:right w:val="nil"/>
            </w:tcBorders>
            <w:shd w:val="clear" w:color="auto" w:fill="auto"/>
            <w:noWrap/>
            <w:vAlign w:val="bottom"/>
            <w:hideMark/>
          </w:tcPr>
          <w:p w14:paraId="033B8050"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45.9</w:t>
            </w:r>
          </w:p>
        </w:tc>
      </w:tr>
      <w:tr w:rsidR="00AD5842" w:rsidRPr="00AD5842" w14:paraId="5F999F71" w14:textId="77777777" w:rsidTr="00AD5842">
        <w:trPr>
          <w:trHeight w:val="288"/>
        </w:trPr>
        <w:tc>
          <w:tcPr>
            <w:tcW w:w="4716" w:type="dxa"/>
            <w:tcBorders>
              <w:top w:val="nil"/>
              <w:left w:val="nil"/>
              <w:bottom w:val="nil"/>
              <w:right w:val="nil"/>
            </w:tcBorders>
            <w:shd w:val="clear" w:color="auto" w:fill="auto"/>
            <w:noWrap/>
            <w:vAlign w:val="bottom"/>
            <w:hideMark/>
          </w:tcPr>
          <w:p w14:paraId="1426332C"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Discordant</w:t>
            </w:r>
          </w:p>
        </w:tc>
        <w:tc>
          <w:tcPr>
            <w:tcW w:w="996" w:type="dxa"/>
            <w:tcBorders>
              <w:top w:val="nil"/>
              <w:left w:val="nil"/>
              <w:bottom w:val="nil"/>
              <w:right w:val="nil"/>
            </w:tcBorders>
            <w:shd w:val="clear" w:color="auto" w:fill="auto"/>
            <w:noWrap/>
            <w:vAlign w:val="bottom"/>
            <w:hideMark/>
          </w:tcPr>
          <w:p w14:paraId="1885E113"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24.2 </w:t>
            </w:r>
          </w:p>
        </w:tc>
        <w:tc>
          <w:tcPr>
            <w:tcW w:w="996" w:type="dxa"/>
            <w:tcBorders>
              <w:top w:val="nil"/>
              <w:left w:val="nil"/>
              <w:bottom w:val="nil"/>
              <w:right w:val="nil"/>
            </w:tcBorders>
            <w:shd w:val="clear" w:color="auto" w:fill="auto"/>
            <w:noWrap/>
            <w:vAlign w:val="bottom"/>
            <w:hideMark/>
          </w:tcPr>
          <w:p w14:paraId="63185152"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(0.7)</w:t>
            </w:r>
          </w:p>
        </w:tc>
        <w:tc>
          <w:tcPr>
            <w:tcW w:w="996" w:type="dxa"/>
            <w:tcBorders>
              <w:top w:val="nil"/>
              <w:left w:val="nil"/>
              <w:bottom w:val="nil"/>
              <w:right w:val="nil"/>
            </w:tcBorders>
            <w:shd w:val="clear" w:color="auto" w:fill="auto"/>
            <w:noWrap/>
            <w:vAlign w:val="bottom"/>
            <w:hideMark/>
          </w:tcPr>
          <w:p w14:paraId="36F49234"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56.2</w:t>
            </w:r>
          </w:p>
        </w:tc>
      </w:tr>
      <w:tr w:rsidR="00AD5842" w:rsidRPr="00AD5842" w14:paraId="4790BB49" w14:textId="77777777" w:rsidTr="00AD5842">
        <w:trPr>
          <w:trHeight w:val="288"/>
        </w:trPr>
        <w:tc>
          <w:tcPr>
            <w:tcW w:w="4716" w:type="dxa"/>
            <w:tcBorders>
              <w:top w:val="nil"/>
              <w:left w:val="nil"/>
              <w:bottom w:val="nil"/>
              <w:right w:val="nil"/>
            </w:tcBorders>
            <w:shd w:val="clear" w:color="auto" w:fill="auto"/>
            <w:noWrap/>
            <w:vAlign w:val="bottom"/>
            <w:hideMark/>
          </w:tcPr>
          <w:p w14:paraId="2386A7FD" w14:textId="77777777" w:rsidR="00AD5842" w:rsidRPr="00AD5842" w:rsidRDefault="00AD5842" w:rsidP="00AD5842">
            <w:pPr>
              <w:spacing w:after="0" w:line="240" w:lineRule="auto"/>
              <w:ind w:firstLineChars="100" w:firstLine="24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Statin Recommended in 2013</w:t>
            </w:r>
          </w:p>
        </w:tc>
        <w:tc>
          <w:tcPr>
            <w:tcW w:w="996" w:type="dxa"/>
            <w:tcBorders>
              <w:top w:val="nil"/>
              <w:left w:val="nil"/>
              <w:bottom w:val="nil"/>
              <w:right w:val="nil"/>
            </w:tcBorders>
            <w:shd w:val="clear" w:color="auto" w:fill="auto"/>
            <w:noWrap/>
            <w:vAlign w:val="bottom"/>
            <w:hideMark/>
          </w:tcPr>
          <w:p w14:paraId="7FE76B00"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56.8 </w:t>
            </w:r>
          </w:p>
        </w:tc>
        <w:tc>
          <w:tcPr>
            <w:tcW w:w="996" w:type="dxa"/>
            <w:tcBorders>
              <w:top w:val="nil"/>
              <w:left w:val="nil"/>
              <w:bottom w:val="nil"/>
              <w:right w:val="nil"/>
            </w:tcBorders>
            <w:shd w:val="clear" w:color="auto" w:fill="auto"/>
            <w:noWrap/>
            <w:vAlign w:val="bottom"/>
            <w:hideMark/>
          </w:tcPr>
          <w:p w14:paraId="6C00D3E3"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76CD9316"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31.9</w:t>
            </w:r>
          </w:p>
        </w:tc>
      </w:tr>
      <w:tr w:rsidR="00AD5842" w:rsidRPr="00AD5842" w14:paraId="71ABA38E" w14:textId="77777777" w:rsidTr="00AD5842">
        <w:trPr>
          <w:trHeight w:val="288"/>
        </w:trPr>
        <w:tc>
          <w:tcPr>
            <w:tcW w:w="4716" w:type="dxa"/>
            <w:tcBorders>
              <w:top w:val="nil"/>
              <w:left w:val="nil"/>
              <w:bottom w:val="nil"/>
              <w:right w:val="nil"/>
            </w:tcBorders>
            <w:shd w:val="clear" w:color="auto" w:fill="auto"/>
            <w:noWrap/>
            <w:vAlign w:val="bottom"/>
            <w:hideMark/>
          </w:tcPr>
          <w:p w14:paraId="166DC8F2" w14:textId="77777777" w:rsidR="00AD5842" w:rsidRPr="00AD5842" w:rsidRDefault="00AD5842" w:rsidP="00AD5842">
            <w:pPr>
              <w:spacing w:after="0" w:line="240" w:lineRule="auto"/>
              <w:ind w:firstLineChars="300" w:firstLine="72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Consider Statin in 2018</w:t>
            </w:r>
          </w:p>
        </w:tc>
        <w:tc>
          <w:tcPr>
            <w:tcW w:w="996" w:type="dxa"/>
            <w:tcBorders>
              <w:top w:val="nil"/>
              <w:left w:val="nil"/>
              <w:bottom w:val="nil"/>
              <w:right w:val="nil"/>
            </w:tcBorders>
            <w:shd w:val="clear" w:color="auto" w:fill="auto"/>
            <w:noWrap/>
            <w:vAlign w:val="bottom"/>
            <w:hideMark/>
          </w:tcPr>
          <w:p w14:paraId="0CC2B533"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46.4 </w:t>
            </w:r>
          </w:p>
        </w:tc>
        <w:tc>
          <w:tcPr>
            <w:tcW w:w="996" w:type="dxa"/>
            <w:tcBorders>
              <w:top w:val="nil"/>
              <w:left w:val="nil"/>
              <w:bottom w:val="nil"/>
              <w:right w:val="nil"/>
            </w:tcBorders>
            <w:shd w:val="clear" w:color="auto" w:fill="auto"/>
            <w:noWrap/>
            <w:vAlign w:val="bottom"/>
            <w:hideMark/>
          </w:tcPr>
          <w:p w14:paraId="24AE0B5E"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43F6E493"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26.0</w:t>
            </w:r>
          </w:p>
        </w:tc>
      </w:tr>
      <w:tr w:rsidR="00AD5842" w:rsidRPr="00AD5842" w14:paraId="68E339F6" w14:textId="77777777" w:rsidTr="00AD5842">
        <w:trPr>
          <w:trHeight w:val="288"/>
        </w:trPr>
        <w:tc>
          <w:tcPr>
            <w:tcW w:w="4716" w:type="dxa"/>
            <w:tcBorders>
              <w:top w:val="nil"/>
              <w:left w:val="nil"/>
              <w:bottom w:val="nil"/>
              <w:right w:val="nil"/>
            </w:tcBorders>
            <w:shd w:val="clear" w:color="auto" w:fill="auto"/>
            <w:noWrap/>
            <w:vAlign w:val="bottom"/>
            <w:hideMark/>
          </w:tcPr>
          <w:p w14:paraId="60AE7BB7" w14:textId="77777777" w:rsidR="00AD5842" w:rsidRPr="00AD5842" w:rsidRDefault="00AD5842" w:rsidP="00AD5842">
            <w:pPr>
              <w:spacing w:after="0" w:line="240" w:lineRule="auto"/>
              <w:ind w:firstLineChars="300" w:firstLine="72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No Recommendation in 2018</w:t>
            </w:r>
          </w:p>
        </w:tc>
        <w:tc>
          <w:tcPr>
            <w:tcW w:w="996" w:type="dxa"/>
            <w:tcBorders>
              <w:top w:val="nil"/>
              <w:left w:val="nil"/>
              <w:bottom w:val="nil"/>
              <w:right w:val="nil"/>
            </w:tcBorders>
            <w:shd w:val="clear" w:color="auto" w:fill="auto"/>
            <w:noWrap/>
            <w:vAlign w:val="bottom"/>
            <w:hideMark/>
          </w:tcPr>
          <w:p w14:paraId="20CD0282"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10.5 </w:t>
            </w:r>
          </w:p>
        </w:tc>
        <w:tc>
          <w:tcPr>
            <w:tcW w:w="996" w:type="dxa"/>
            <w:tcBorders>
              <w:top w:val="nil"/>
              <w:left w:val="nil"/>
              <w:bottom w:val="nil"/>
              <w:right w:val="nil"/>
            </w:tcBorders>
            <w:shd w:val="clear" w:color="auto" w:fill="auto"/>
            <w:noWrap/>
            <w:vAlign w:val="bottom"/>
            <w:hideMark/>
          </w:tcPr>
          <w:p w14:paraId="73E605B2"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(1.0)</w:t>
            </w:r>
          </w:p>
        </w:tc>
        <w:tc>
          <w:tcPr>
            <w:tcW w:w="996" w:type="dxa"/>
            <w:tcBorders>
              <w:top w:val="nil"/>
              <w:left w:val="nil"/>
              <w:bottom w:val="nil"/>
              <w:right w:val="nil"/>
            </w:tcBorders>
            <w:shd w:val="clear" w:color="auto" w:fill="auto"/>
            <w:noWrap/>
            <w:vAlign w:val="bottom"/>
            <w:hideMark/>
          </w:tcPr>
          <w:p w14:paraId="5A758103"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5.9</w:t>
            </w:r>
          </w:p>
        </w:tc>
      </w:tr>
      <w:tr w:rsidR="00AD5842" w:rsidRPr="00AD5842" w14:paraId="2BFAE636" w14:textId="77777777" w:rsidTr="00AD5842">
        <w:trPr>
          <w:trHeight w:val="288"/>
        </w:trPr>
        <w:tc>
          <w:tcPr>
            <w:tcW w:w="4716" w:type="dxa"/>
            <w:tcBorders>
              <w:top w:val="nil"/>
              <w:left w:val="nil"/>
              <w:bottom w:val="nil"/>
              <w:right w:val="nil"/>
            </w:tcBorders>
            <w:shd w:val="clear" w:color="auto" w:fill="auto"/>
            <w:noWrap/>
            <w:vAlign w:val="bottom"/>
            <w:hideMark/>
          </w:tcPr>
          <w:p w14:paraId="70338574" w14:textId="77777777" w:rsidR="00AD5842" w:rsidRPr="00AD5842" w:rsidRDefault="00AD5842" w:rsidP="00AD5842">
            <w:pPr>
              <w:spacing w:after="0" w:line="240" w:lineRule="auto"/>
              <w:ind w:firstLineChars="100" w:firstLine="24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No Statin Recommended in 2013</w:t>
            </w:r>
          </w:p>
        </w:tc>
        <w:tc>
          <w:tcPr>
            <w:tcW w:w="996" w:type="dxa"/>
            <w:tcBorders>
              <w:top w:val="nil"/>
              <w:left w:val="nil"/>
              <w:bottom w:val="nil"/>
              <w:right w:val="nil"/>
            </w:tcBorders>
            <w:shd w:val="clear" w:color="auto" w:fill="auto"/>
            <w:noWrap/>
            <w:vAlign w:val="bottom"/>
            <w:hideMark/>
          </w:tcPr>
          <w:p w14:paraId="0393B359"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43.2 </w:t>
            </w:r>
          </w:p>
        </w:tc>
        <w:tc>
          <w:tcPr>
            <w:tcW w:w="996" w:type="dxa"/>
            <w:tcBorders>
              <w:top w:val="nil"/>
              <w:left w:val="nil"/>
              <w:bottom w:val="nil"/>
              <w:right w:val="nil"/>
            </w:tcBorders>
            <w:shd w:val="clear" w:color="auto" w:fill="auto"/>
            <w:noWrap/>
            <w:vAlign w:val="bottom"/>
            <w:hideMark/>
          </w:tcPr>
          <w:p w14:paraId="545408B7"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36DF34D7"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24.2</w:t>
            </w:r>
          </w:p>
        </w:tc>
      </w:tr>
      <w:tr w:rsidR="00AD5842" w:rsidRPr="00AD5842" w14:paraId="19E87BB2" w14:textId="77777777" w:rsidTr="00AD5842">
        <w:trPr>
          <w:trHeight w:val="288"/>
        </w:trPr>
        <w:tc>
          <w:tcPr>
            <w:tcW w:w="4716" w:type="dxa"/>
            <w:tcBorders>
              <w:top w:val="nil"/>
              <w:left w:val="nil"/>
              <w:bottom w:val="nil"/>
              <w:right w:val="nil"/>
            </w:tcBorders>
            <w:shd w:val="clear" w:color="auto" w:fill="auto"/>
            <w:noWrap/>
            <w:vAlign w:val="bottom"/>
            <w:hideMark/>
          </w:tcPr>
          <w:p w14:paraId="535E71BE" w14:textId="77777777" w:rsidR="00AD5842" w:rsidRPr="00AD5842" w:rsidRDefault="00AD5842" w:rsidP="00AD5842">
            <w:pPr>
              <w:spacing w:after="0" w:line="240" w:lineRule="auto"/>
              <w:ind w:firstLineChars="300" w:firstLine="72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Consider Statin in 2018</w:t>
            </w:r>
          </w:p>
        </w:tc>
        <w:tc>
          <w:tcPr>
            <w:tcW w:w="996" w:type="dxa"/>
            <w:tcBorders>
              <w:top w:val="nil"/>
              <w:left w:val="nil"/>
              <w:bottom w:val="nil"/>
              <w:right w:val="nil"/>
            </w:tcBorders>
            <w:shd w:val="clear" w:color="auto" w:fill="auto"/>
            <w:noWrap/>
            <w:vAlign w:val="bottom"/>
            <w:hideMark/>
          </w:tcPr>
          <w:p w14:paraId="693E74D7"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42.8 </w:t>
            </w:r>
          </w:p>
        </w:tc>
        <w:tc>
          <w:tcPr>
            <w:tcW w:w="996" w:type="dxa"/>
            <w:tcBorders>
              <w:top w:val="nil"/>
              <w:left w:val="nil"/>
              <w:bottom w:val="nil"/>
              <w:right w:val="nil"/>
            </w:tcBorders>
            <w:shd w:val="clear" w:color="auto" w:fill="auto"/>
            <w:noWrap/>
            <w:vAlign w:val="bottom"/>
            <w:hideMark/>
          </w:tcPr>
          <w:p w14:paraId="1C154EC0"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787ACBC7"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24.0</w:t>
            </w:r>
          </w:p>
        </w:tc>
      </w:tr>
      <w:tr w:rsidR="00AD5842" w:rsidRPr="00AD5842" w14:paraId="7B97DDCD" w14:textId="77777777" w:rsidTr="00AD5842">
        <w:trPr>
          <w:trHeight w:val="288"/>
        </w:trPr>
        <w:tc>
          <w:tcPr>
            <w:tcW w:w="4716" w:type="dxa"/>
            <w:tcBorders>
              <w:top w:val="nil"/>
              <w:left w:val="nil"/>
              <w:bottom w:val="single" w:sz="4" w:space="0" w:color="auto"/>
              <w:right w:val="nil"/>
            </w:tcBorders>
            <w:shd w:val="clear" w:color="auto" w:fill="auto"/>
            <w:noWrap/>
            <w:vAlign w:val="bottom"/>
            <w:hideMark/>
          </w:tcPr>
          <w:p w14:paraId="06DE0C72" w14:textId="77777777" w:rsidR="00AD5842" w:rsidRPr="00AD5842" w:rsidRDefault="00AD5842" w:rsidP="00AD5842">
            <w:pPr>
              <w:spacing w:after="0" w:line="240" w:lineRule="auto"/>
              <w:ind w:firstLineChars="300" w:firstLine="720"/>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Recommended in 2018</w:t>
            </w:r>
          </w:p>
        </w:tc>
        <w:tc>
          <w:tcPr>
            <w:tcW w:w="996" w:type="dxa"/>
            <w:tcBorders>
              <w:top w:val="nil"/>
              <w:left w:val="nil"/>
              <w:bottom w:val="single" w:sz="4" w:space="0" w:color="auto"/>
              <w:right w:val="nil"/>
            </w:tcBorders>
            <w:shd w:val="clear" w:color="auto" w:fill="auto"/>
            <w:noWrap/>
            <w:vAlign w:val="bottom"/>
            <w:hideMark/>
          </w:tcPr>
          <w:p w14:paraId="0F902E69" w14:textId="77777777" w:rsidR="00AD5842" w:rsidRPr="00AD5842" w:rsidRDefault="00AD5842" w:rsidP="00AD5842">
            <w:pPr>
              <w:spacing w:after="0" w:line="240" w:lineRule="auto"/>
              <w:jc w:val="right"/>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 xml:space="preserve">0.4 </w:t>
            </w:r>
          </w:p>
        </w:tc>
        <w:tc>
          <w:tcPr>
            <w:tcW w:w="996" w:type="dxa"/>
            <w:tcBorders>
              <w:top w:val="nil"/>
              <w:left w:val="nil"/>
              <w:bottom w:val="single" w:sz="4" w:space="0" w:color="auto"/>
              <w:right w:val="nil"/>
            </w:tcBorders>
            <w:shd w:val="clear" w:color="auto" w:fill="auto"/>
            <w:noWrap/>
            <w:vAlign w:val="bottom"/>
            <w:hideMark/>
          </w:tcPr>
          <w:p w14:paraId="29512014" w14:textId="77777777" w:rsidR="00AD5842" w:rsidRPr="00AD5842" w:rsidRDefault="00AD5842" w:rsidP="00AD5842">
            <w:pPr>
              <w:spacing w:after="0" w:line="240" w:lineRule="auto"/>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(0.1)</w:t>
            </w:r>
          </w:p>
        </w:tc>
        <w:tc>
          <w:tcPr>
            <w:tcW w:w="996" w:type="dxa"/>
            <w:tcBorders>
              <w:top w:val="nil"/>
              <w:left w:val="nil"/>
              <w:bottom w:val="single" w:sz="4" w:space="0" w:color="auto"/>
              <w:right w:val="nil"/>
            </w:tcBorders>
            <w:shd w:val="clear" w:color="auto" w:fill="auto"/>
            <w:noWrap/>
            <w:vAlign w:val="bottom"/>
            <w:hideMark/>
          </w:tcPr>
          <w:p w14:paraId="28486001" w14:textId="77777777" w:rsidR="00AD5842" w:rsidRPr="00AD5842" w:rsidRDefault="00AD5842" w:rsidP="00AD5842">
            <w:pPr>
              <w:spacing w:after="0" w:line="240" w:lineRule="auto"/>
              <w:jc w:val="center"/>
              <w:rPr>
                <w:rFonts w:ascii="Times New Roman" w:eastAsia="Times New Roman" w:hAnsi="Times New Roman" w:cs="Times New Roman"/>
                <w:color w:val="000000"/>
                <w:sz w:val="24"/>
                <w:szCs w:val="24"/>
              </w:rPr>
            </w:pPr>
            <w:r w:rsidRPr="00AD5842">
              <w:rPr>
                <w:rFonts w:ascii="Times New Roman" w:eastAsia="Times New Roman" w:hAnsi="Times New Roman" w:cs="Times New Roman"/>
                <w:color w:val="000000"/>
                <w:sz w:val="24"/>
                <w:szCs w:val="24"/>
              </w:rPr>
              <w:t>0.2</w:t>
            </w:r>
          </w:p>
        </w:tc>
      </w:tr>
    </w:tbl>
    <w:p w14:paraId="5D910C72" w14:textId="77777777" w:rsidR="00BF167F" w:rsidRDefault="00AD5842" w:rsidP="00AD5842">
      <w:pPr>
        <w:spacing w:after="0" w:line="240" w:lineRule="auto"/>
        <w:ind w:righ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end"/>
      </w:r>
    </w:p>
    <w:p w14:paraId="55712F4E" w14:textId="20B86896"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Includes non-pregnant fasting adults age ≥20y, with complete data on risk factors and statin use</w:t>
      </w:r>
    </w:p>
    <w:p w14:paraId="7230AA0F" w14:textId="77777777"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Statin use identified using the NHANES prescription medication data files.</w:t>
      </w:r>
    </w:p>
    <w:p w14:paraId="4FF902C6" w14:textId="77777777" w:rsidR="00AD5842" w:rsidRPr="00AD5842" w:rsidRDefault="00AD5842" w:rsidP="00AD5842">
      <w:pPr>
        <w:spacing w:after="0" w:line="240" w:lineRule="auto"/>
        <w:ind w:right="1440"/>
        <w:rPr>
          <w:rFonts w:ascii="Times New Roman" w:eastAsia="Times New Roman" w:hAnsi="Times New Roman" w:cs="Times New Roman"/>
          <w:sz w:val="20"/>
          <w:szCs w:val="20"/>
        </w:rPr>
      </w:pPr>
      <w:r w:rsidRPr="00AD5842">
        <w:rPr>
          <w:rFonts w:ascii="Times New Roman" w:eastAsia="Times New Roman" w:hAnsi="Times New Roman" w:cs="Times New Roman"/>
          <w:sz w:val="20"/>
          <w:szCs w:val="20"/>
        </w:rPr>
        <w:t>Statin Recommended and Consider statin groups are mutually exclusive.</w:t>
      </w:r>
    </w:p>
    <w:p w14:paraId="1EEC538D" w14:textId="77777777"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The 2013 ACC-AHA Guidelines recommended statin therapy for adults ≥21 years who fall into any of the following 5 groups:</w:t>
      </w:r>
    </w:p>
    <w:p w14:paraId="6B4E1818"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1) Clinical ASCVD: Criteria used to define ASCVD are found in Supplemental Table 1.</w:t>
      </w:r>
    </w:p>
    <w:p w14:paraId="2DFF42B0" w14:textId="77777777" w:rsidR="00AD5842" w:rsidRPr="00AD5842" w:rsidRDefault="00AD5842" w:rsidP="00AD5842">
      <w:pPr>
        <w:spacing w:after="0" w:line="240" w:lineRule="auto"/>
        <w:ind w:right="1440" w:firstLine="2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2) Severe hypercholesterolemia: fasting LDL-c ≥190 mg/dL, no clinical ASCVD (as defined above), and age 40-75 y</w:t>
      </w:r>
    </w:p>
    <w:p w14:paraId="34AE180E"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3) Diabetes, no clinical ASCVD or severe hypercholesterolemia, age 40-75 y; Criteria used to define Diabetes are found in Supplemental Table 1.</w:t>
      </w:r>
    </w:p>
    <w:p w14:paraId="15DD9AD1"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4) ASCVD risk ≥7.5%, no clinical ASCVD, severe hypercholesterolemia, or Diabetes, age 40-75 y</w:t>
      </w:r>
    </w:p>
    <w:p w14:paraId="71891392" w14:textId="77777777" w:rsidR="00AD5842" w:rsidRPr="00AD5842" w:rsidRDefault="00AD5842" w:rsidP="00AD5842">
      <w:pPr>
        <w:spacing w:after="0" w:line="240" w:lineRule="auto"/>
        <w:ind w:left="720" w:right="1440"/>
        <w:rPr>
          <w:rFonts w:ascii="Times New Roman" w:eastAsia="Times New Roman" w:hAnsi="Times New Roman" w:cs="Times New Roman"/>
          <w:color w:val="000000"/>
          <w:sz w:val="20"/>
          <w:szCs w:val="20"/>
        </w:rPr>
      </w:pPr>
      <w:r w:rsidRPr="00AD5842" w:rsidDel="00906D57">
        <w:rPr>
          <w:rFonts w:ascii="Times New Roman" w:eastAsia="Times New Roman" w:hAnsi="Times New Roman" w:cs="Times New Roman"/>
          <w:color w:val="000000"/>
          <w:sz w:val="20"/>
          <w:szCs w:val="20"/>
        </w:rPr>
        <w:t>ASCVD risk score is calculated based on the equations published in: Goff DC Jr, Lloyd-Jones DM, Bennett G, Coady S, D’Agostino RB Sr,</w:t>
      </w:r>
      <w:r w:rsidRPr="00AD5842">
        <w:rPr>
          <w:rFonts w:ascii="Times New Roman" w:eastAsia="Times New Roman" w:hAnsi="Times New Roman" w:cs="Times New Roman"/>
          <w:color w:val="000000"/>
          <w:sz w:val="20"/>
          <w:szCs w:val="20"/>
        </w:rPr>
        <w:t xml:space="preserve"> </w:t>
      </w:r>
      <w:r w:rsidRPr="00AD5842" w:rsidDel="00906D57">
        <w:rPr>
          <w:rFonts w:ascii="Times New Roman" w:eastAsia="Times New Roman" w:hAnsi="Times New Roman" w:cs="Times New Roman"/>
          <w:color w:val="000000"/>
          <w:sz w:val="20"/>
          <w:szCs w:val="20"/>
        </w:rPr>
        <w:t>Gibbons R, Greenland P, Lackland DT, Levy D, O’Donnell CJ, Robinson JG, Schwartz JS, Shero ST, Smith SC Jr, Sorlie P, Stone NJ, Wilson PWF. 2013 ACC/AHA guideline on the assessment of cardiovascular risk: a report of the American College of Cardiology/American Heart Association Task Force on Practice Guidelines. Circulation. 2014;129(suppl 2):</w:t>
      </w:r>
      <w:r w:rsidRPr="00AD5842">
        <w:rPr>
          <w:rFonts w:ascii="Times New Roman" w:eastAsia="Times New Roman" w:hAnsi="Times New Roman" w:cs="Times New Roman"/>
          <w:color w:val="000000"/>
          <w:sz w:val="20"/>
          <w:szCs w:val="20"/>
        </w:rPr>
        <w:t xml:space="preserve"> </w:t>
      </w:r>
      <w:r w:rsidRPr="00AD5842" w:rsidDel="00906D57">
        <w:rPr>
          <w:rFonts w:ascii="Times New Roman" w:eastAsia="Times New Roman" w:hAnsi="Times New Roman" w:cs="Times New Roman"/>
          <w:color w:val="000000"/>
          <w:sz w:val="20"/>
          <w:szCs w:val="20"/>
        </w:rPr>
        <w:t>S49-S73.</w:t>
      </w:r>
    </w:p>
    <w:p w14:paraId="294A5EC9" w14:textId="3B639966"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5) Current statin use: identified using the NHANES prescription medication data files.</w:t>
      </w:r>
    </w:p>
    <w:p w14:paraId="25231498" w14:textId="4A7486CC"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The 2018 ACC-AHA Guidelines recommend statin therapy for adults 20</w:t>
      </w:r>
      <w:r>
        <w:rPr>
          <w:rFonts w:ascii="Times New Roman" w:eastAsia="Times New Roman" w:hAnsi="Times New Roman" w:cs="Times New Roman"/>
          <w:color w:val="000000"/>
          <w:sz w:val="20"/>
          <w:szCs w:val="20"/>
        </w:rPr>
        <w:t>-75</w:t>
      </w:r>
      <w:r w:rsidRPr="00AD5842">
        <w:rPr>
          <w:rFonts w:ascii="Times New Roman" w:eastAsia="Times New Roman" w:hAnsi="Times New Roman" w:cs="Times New Roman"/>
          <w:color w:val="000000"/>
          <w:sz w:val="20"/>
          <w:szCs w:val="20"/>
        </w:rPr>
        <w:t xml:space="preserve"> years who fall into any of the following 4 groups:</w:t>
      </w:r>
    </w:p>
    <w:p w14:paraId="4DD9E150"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1) Clinical ASCVD (as defined above) and age 20-75 years</w:t>
      </w:r>
    </w:p>
    <w:p w14:paraId="3AA58897"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2) Severe hypercholesterolemia: fasting LDL-c ≥190 mg/dL, no clinical ASCVD, and age 20-75 y</w:t>
      </w:r>
    </w:p>
    <w:p w14:paraId="7B75CA1D" w14:textId="77777777"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3) Diabetes, no clinical ASCVD or severe hypercholesterolemia, and age 40-75 y</w:t>
      </w:r>
    </w:p>
    <w:p w14:paraId="205748A5" w14:textId="3C967462" w:rsidR="00AD5842" w:rsidRPr="00AD5842" w:rsidRDefault="00AD5842" w:rsidP="00AD5842">
      <w:pPr>
        <w:spacing w:after="0" w:line="240" w:lineRule="auto"/>
        <w:ind w:right="1440" w:firstLineChars="100" w:firstLine="20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4) Primary prevention (no clinical ASCVD, severe hypercholesterolemia, or Diabetes, age 40-75y):</w:t>
      </w:r>
      <w:r>
        <w:rPr>
          <w:rFonts w:ascii="Times New Roman" w:eastAsia="Times New Roman" w:hAnsi="Times New Roman" w:cs="Times New Roman"/>
          <w:color w:val="000000"/>
          <w:sz w:val="20"/>
          <w:szCs w:val="20"/>
        </w:rPr>
        <w:t xml:space="preserve"> </w:t>
      </w:r>
      <w:r w:rsidRPr="00AD5842">
        <w:rPr>
          <w:rFonts w:ascii="Times New Roman" w:eastAsia="Times New Roman" w:hAnsi="Times New Roman" w:cs="Times New Roman"/>
          <w:color w:val="000000"/>
          <w:sz w:val="20"/>
          <w:szCs w:val="20"/>
        </w:rPr>
        <w:t xml:space="preserve">ASCVD risk ≥20% </w:t>
      </w:r>
    </w:p>
    <w:p w14:paraId="4F8AB663" w14:textId="77777777"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Not shown is the category for current statin use among adults who do not fall within any of the management groups. The 2013 Guideline recommended continued therapy for all adults currently treated; the 2018 Guideline recommend considering continued therapy only within the management groups.</w:t>
      </w:r>
    </w:p>
    <w:p w14:paraId="1783C2A4" w14:textId="77777777" w:rsidR="00AD5842"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Does not include those for whom statin therapy should be considered according to the 2018 Guideline.</w:t>
      </w:r>
    </w:p>
    <w:p w14:paraId="280E8208" w14:textId="2151CE33" w:rsidR="00324E8B" w:rsidRPr="00AD5842" w:rsidRDefault="00AD5842" w:rsidP="00AD5842">
      <w:pPr>
        <w:spacing w:after="0" w:line="240" w:lineRule="auto"/>
        <w:ind w:right="1440"/>
        <w:rPr>
          <w:rFonts w:ascii="Times New Roman" w:eastAsia="Times New Roman" w:hAnsi="Times New Roman" w:cs="Times New Roman"/>
          <w:color w:val="000000"/>
          <w:sz w:val="20"/>
          <w:szCs w:val="20"/>
        </w:rPr>
      </w:pPr>
      <w:r w:rsidRPr="00AD5842">
        <w:rPr>
          <w:rFonts w:ascii="Times New Roman" w:eastAsia="Times New Roman" w:hAnsi="Times New Roman" w:cs="Times New Roman"/>
          <w:color w:val="000000"/>
          <w:sz w:val="20"/>
          <w:szCs w:val="20"/>
        </w:rPr>
        <w:t>N: Population N in millions, calculated from the 2011-2012, 2013-2014, 2015-2016, 2017-2018 American Community Survey data released by NCHS, averaged across the 4 cycles. For additional information, see: http://www.cdc.gov/nchs/nhanes/response_rates_cps.htm.</w:t>
      </w:r>
    </w:p>
    <w:sectPr w:rsidR="00324E8B" w:rsidRPr="00AD5842" w:rsidSect="00D129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A765" w14:textId="77777777" w:rsidR="00270AA9" w:rsidRDefault="00270AA9" w:rsidP="00270AA9">
      <w:pPr>
        <w:spacing w:after="0" w:line="240" w:lineRule="auto"/>
      </w:pPr>
      <w:r>
        <w:separator/>
      </w:r>
    </w:p>
  </w:endnote>
  <w:endnote w:type="continuationSeparator" w:id="0">
    <w:p w14:paraId="3B430963" w14:textId="77777777" w:rsidR="00270AA9" w:rsidRDefault="00270AA9" w:rsidP="0027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A2FE" w14:textId="77777777" w:rsidR="00270AA9" w:rsidRDefault="00270AA9" w:rsidP="00270AA9">
      <w:pPr>
        <w:spacing w:after="0" w:line="240" w:lineRule="auto"/>
      </w:pPr>
      <w:r>
        <w:separator/>
      </w:r>
    </w:p>
  </w:footnote>
  <w:footnote w:type="continuationSeparator" w:id="0">
    <w:p w14:paraId="3F924447" w14:textId="77777777" w:rsidR="00270AA9" w:rsidRDefault="00270AA9" w:rsidP="00270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519"/>
    <w:multiLevelType w:val="hybridMultilevel"/>
    <w:tmpl w:val="63AE9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0143"/>
    <w:multiLevelType w:val="hybridMultilevel"/>
    <w:tmpl w:val="F74A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01F37"/>
    <w:multiLevelType w:val="hybridMultilevel"/>
    <w:tmpl w:val="5A50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96678"/>
    <w:multiLevelType w:val="hybridMultilevel"/>
    <w:tmpl w:val="8764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32A39"/>
    <w:multiLevelType w:val="hybridMultilevel"/>
    <w:tmpl w:val="185E2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2701A"/>
    <w:multiLevelType w:val="hybridMultilevel"/>
    <w:tmpl w:val="E354A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D197E"/>
    <w:multiLevelType w:val="hybridMultilevel"/>
    <w:tmpl w:val="06A89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45E0391"/>
    <w:multiLevelType w:val="hybridMultilevel"/>
    <w:tmpl w:val="E3C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A9"/>
    <w:rsid w:val="000A1DD9"/>
    <w:rsid w:val="0010509B"/>
    <w:rsid w:val="001973BC"/>
    <w:rsid w:val="001D6800"/>
    <w:rsid w:val="00270AA9"/>
    <w:rsid w:val="002D344D"/>
    <w:rsid w:val="00324E8B"/>
    <w:rsid w:val="004E6AB7"/>
    <w:rsid w:val="005E6DED"/>
    <w:rsid w:val="00612A18"/>
    <w:rsid w:val="00651A06"/>
    <w:rsid w:val="00662397"/>
    <w:rsid w:val="00936E3B"/>
    <w:rsid w:val="00A11C67"/>
    <w:rsid w:val="00A72B24"/>
    <w:rsid w:val="00AD5842"/>
    <w:rsid w:val="00B7330E"/>
    <w:rsid w:val="00BF167F"/>
    <w:rsid w:val="00C5636A"/>
    <w:rsid w:val="00D1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1B180"/>
  <w15:chartTrackingRefBased/>
  <w15:docId w15:val="{ED351063-0F5B-41A3-AF3F-005172D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397"/>
    <w:rPr>
      <w:color w:val="0563C1" w:themeColor="hyperlink"/>
      <w:u w:val="single"/>
    </w:rPr>
  </w:style>
  <w:style w:type="character" w:styleId="UnresolvedMention">
    <w:name w:val="Unresolved Mention"/>
    <w:basedOn w:val="DefaultParagraphFont"/>
    <w:uiPriority w:val="99"/>
    <w:semiHidden/>
    <w:unhideWhenUsed/>
    <w:rsid w:val="00662397"/>
    <w:rPr>
      <w:color w:val="605E5C"/>
      <w:shd w:val="clear" w:color="auto" w:fill="E1DFDD"/>
    </w:rPr>
  </w:style>
  <w:style w:type="paragraph" w:styleId="ListParagraph">
    <w:name w:val="List Paragraph"/>
    <w:basedOn w:val="Normal"/>
    <w:uiPriority w:val="34"/>
    <w:qFormat/>
    <w:rsid w:val="00D129B3"/>
    <w:pPr>
      <w:ind w:left="720"/>
      <w:contextualSpacing/>
    </w:pPr>
  </w:style>
  <w:style w:type="table" w:styleId="TableGrid">
    <w:name w:val="Table Grid"/>
    <w:basedOn w:val="TableNormal"/>
    <w:uiPriority w:val="39"/>
    <w:rsid w:val="00D1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3B"/>
  </w:style>
  <w:style w:type="paragraph" w:styleId="Footer">
    <w:name w:val="footer"/>
    <w:basedOn w:val="Normal"/>
    <w:link w:val="FooterChar"/>
    <w:uiPriority w:val="99"/>
    <w:unhideWhenUsed/>
    <w:rsid w:val="0093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48">
      <w:bodyDiv w:val="1"/>
      <w:marLeft w:val="0"/>
      <w:marRight w:val="0"/>
      <w:marTop w:val="0"/>
      <w:marBottom w:val="0"/>
      <w:divBdr>
        <w:top w:val="none" w:sz="0" w:space="0" w:color="auto"/>
        <w:left w:val="none" w:sz="0" w:space="0" w:color="auto"/>
        <w:bottom w:val="none" w:sz="0" w:space="0" w:color="auto"/>
        <w:right w:val="none" w:sz="0" w:space="0" w:color="auto"/>
      </w:divBdr>
    </w:div>
    <w:div w:id="141773617">
      <w:bodyDiv w:val="1"/>
      <w:marLeft w:val="0"/>
      <w:marRight w:val="0"/>
      <w:marTop w:val="0"/>
      <w:marBottom w:val="0"/>
      <w:divBdr>
        <w:top w:val="none" w:sz="0" w:space="0" w:color="auto"/>
        <w:left w:val="none" w:sz="0" w:space="0" w:color="auto"/>
        <w:bottom w:val="none" w:sz="0" w:space="0" w:color="auto"/>
        <w:right w:val="none" w:sz="0" w:space="0" w:color="auto"/>
      </w:divBdr>
    </w:div>
    <w:div w:id="183249339">
      <w:bodyDiv w:val="1"/>
      <w:marLeft w:val="0"/>
      <w:marRight w:val="0"/>
      <w:marTop w:val="0"/>
      <w:marBottom w:val="0"/>
      <w:divBdr>
        <w:top w:val="none" w:sz="0" w:space="0" w:color="auto"/>
        <w:left w:val="none" w:sz="0" w:space="0" w:color="auto"/>
        <w:bottom w:val="none" w:sz="0" w:space="0" w:color="auto"/>
        <w:right w:val="none" w:sz="0" w:space="0" w:color="auto"/>
      </w:divBdr>
    </w:div>
    <w:div w:id="264769205">
      <w:bodyDiv w:val="1"/>
      <w:marLeft w:val="0"/>
      <w:marRight w:val="0"/>
      <w:marTop w:val="0"/>
      <w:marBottom w:val="0"/>
      <w:divBdr>
        <w:top w:val="none" w:sz="0" w:space="0" w:color="auto"/>
        <w:left w:val="none" w:sz="0" w:space="0" w:color="auto"/>
        <w:bottom w:val="none" w:sz="0" w:space="0" w:color="auto"/>
        <w:right w:val="none" w:sz="0" w:space="0" w:color="auto"/>
      </w:divBdr>
    </w:div>
    <w:div w:id="343366344">
      <w:bodyDiv w:val="1"/>
      <w:marLeft w:val="0"/>
      <w:marRight w:val="0"/>
      <w:marTop w:val="0"/>
      <w:marBottom w:val="0"/>
      <w:divBdr>
        <w:top w:val="none" w:sz="0" w:space="0" w:color="auto"/>
        <w:left w:val="none" w:sz="0" w:space="0" w:color="auto"/>
        <w:bottom w:val="none" w:sz="0" w:space="0" w:color="auto"/>
        <w:right w:val="none" w:sz="0" w:space="0" w:color="auto"/>
      </w:divBdr>
    </w:div>
    <w:div w:id="375277358">
      <w:bodyDiv w:val="1"/>
      <w:marLeft w:val="0"/>
      <w:marRight w:val="0"/>
      <w:marTop w:val="0"/>
      <w:marBottom w:val="0"/>
      <w:divBdr>
        <w:top w:val="none" w:sz="0" w:space="0" w:color="auto"/>
        <w:left w:val="none" w:sz="0" w:space="0" w:color="auto"/>
        <w:bottom w:val="none" w:sz="0" w:space="0" w:color="auto"/>
        <w:right w:val="none" w:sz="0" w:space="0" w:color="auto"/>
      </w:divBdr>
    </w:div>
    <w:div w:id="410781405">
      <w:bodyDiv w:val="1"/>
      <w:marLeft w:val="0"/>
      <w:marRight w:val="0"/>
      <w:marTop w:val="0"/>
      <w:marBottom w:val="0"/>
      <w:divBdr>
        <w:top w:val="none" w:sz="0" w:space="0" w:color="auto"/>
        <w:left w:val="none" w:sz="0" w:space="0" w:color="auto"/>
        <w:bottom w:val="none" w:sz="0" w:space="0" w:color="auto"/>
        <w:right w:val="none" w:sz="0" w:space="0" w:color="auto"/>
      </w:divBdr>
    </w:div>
    <w:div w:id="770200124">
      <w:bodyDiv w:val="1"/>
      <w:marLeft w:val="0"/>
      <w:marRight w:val="0"/>
      <w:marTop w:val="0"/>
      <w:marBottom w:val="0"/>
      <w:divBdr>
        <w:top w:val="none" w:sz="0" w:space="0" w:color="auto"/>
        <w:left w:val="none" w:sz="0" w:space="0" w:color="auto"/>
        <w:bottom w:val="none" w:sz="0" w:space="0" w:color="auto"/>
        <w:right w:val="none" w:sz="0" w:space="0" w:color="auto"/>
      </w:divBdr>
    </w:div>
    <w:div w:id="855120637">
      <w:bodyDiv w:val="1"/>
      <w:marLeft w:val="0"/>
      <w:marRight w:val="0"/>
      <w:marTop w:val="0"/>
      <w:marBottom w:val="0"/>
      <w:divBdr>
        <w:top w:val="none" w:sz="0" w:space="0" w:color="auto"/>
        <w:left w:val="none" w:sz="0" w:space="0" w:color="auto"/>
        <w:bottom w:val="none" w:sz="0" w:space="0" w:color="auto"/>
        <w:right w:val="none" w:sz="0" w:space="0" w:color="auto"/>
      </w:divBdr>
    </w:div>
    <w:div w:id="992415250">
      <w:bodyDiv w:val="1"/>
      <w:marLeft w:val="0"/>
      <w:marRight w:val="0"/>
      <w:marTop w:val="0"/>
      <w:marBottom w:val="0"/>
      <w:divBdr>
        <w:top w:val="none" w:sz="0" w:space="0" w:color="auto"/>
        <w:left w:val="none" w:sz="0" w:space="0" w:color="auto"/>
        <w:bottom w:val="none" w:sz="0" w:space="0" w:color="auto"/>
        <w:right w:val="none" w:sz="0" w:space="0" w:color="auto"/>
      </w:divBdr>
    </w:div>
    <w:div w:id="1038317162">
      <w:bodyDiv w:val="1"/>
      <w:marLeft w:val="0"/>
      <w:marRight w:val="0"/>
      <w:marTop w:val="0"/>
      <w:marBottom w:val="0"/>
      <w:divBdr>
        <w:top w:val="none" w:sz="0" w:space="0" w:color="auto"/>
        <w:left w:val="none" w:sz="0" w:space="0" w:color="auto"/>
        <w:bottom w:val="none" w:sz="0" w:space="0" w:color="auto"/>
        <w:right w:val="none" w:sz="0" w:space="0" w:color="auto"/>
      </w:divBdr>
    </w:div>
    <w:div w:id="1483767635">
      <w:bodyDiv w:val="1"/>
      <w:marLeft w:val="0"/>
      <w:marRight w:val="0"/>
      <w:marTop w:val="0"/>
      <w:marBottom w:val="0"/>
      <w:divBdr>
        <w:top w:val="none" w:sz="0" w:space="0" w:color="auto"/>
        <w:left w:val="none" w:sz="0" w:space="0" w:color="auto"/>
        <w:bottom w:val="none" w:sz="0" w:space="0" w:color="auto"/>
        <w:right w:val="none" w:sz="0" w:space="0" w:color="auto"/>
      </w:divBdr>
    </w:div>
    <w:div w:id="1501653331">
      <w:bodyDiv w:val="1"/>
      <w:marLeft w:val="0"/>
      <w:marRight w:val="0"/>
      <w:marTop w:val="0"/>
      <w:marBottom w:val="0"/>
      <w:divBdr>
        <w:top w:val="none" w:sz="0" w:space="0" w:color="auto"/>
        <w:left w:val="none" w:sz="0" w:space="0" w:color="auto"/>
        <w:bottom w:val="none" w:sz="0" w:space="0" w:color="auto"/>
        <w:right w:val="none" w:sz="0" w:space="0" w:color="auto"/>
      </w:divBdr>
    </w:div>
    <w:div w:id="15365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dc.gov/NCHS/Nhanes/2011-2012/CDQ_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Cathleen (CDC/DDNID/NCCDPHP/DHDSP)</dc:creator>
  <cp:keywords/>
  <dc:description/>
  <cp:lastModifiedBy>Thompson-Paul, Angela M. (CDC/DDNID/NCCDPHP/DHDSP)</cp:lastModifiedBy>
  <cp:revision>3</cp:revision>
  <dcterms:created xsi:type="dcterms:W3CDTF">2022-10-28T21:11:00Z</dcterms:created>
  <dcterms:modified xsi:type="dcterms:W3CDTF">2022-10-28T21:11:00Z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2022-10-27T22:43:59Z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8e96797b-96eb-4ef8-b98e-a96c7c647236</vt:lpwstr>
  </property>
  <property fmtid="{D5CDD505-2E9C-101B-9397-08002B2CF9AE}" pid="8" name="MSIP_Label_7b94a7b8-f06c-4dfe-bdcc-9b548fd58c31_ContentBits">
    <vt:lpwstr>0</vt:lpwstr>
  </property>
</Properties>
</file>