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523CDA" w14:textId="77777777" w:rsidR="003F5A0C" w:rsidRDefault="003F5A0C" w:rsidP="003F5A0C">
      <w:pPr>
        <w:pStyle w:val="Heading1"/>
        <w:spacing w:line="480" w:lineRule="auto"/>
      </w:pPr>
      <w:r>
        <w:t>Supplemental Figures</w:t>
      </w:r>
    </w:p>
    <w:p w14:paraId="46F534A3" w14:textId="77777777" w:rsidR="003F5A0C" w:rsidRDefault="003F5A0C" w:rsidP="003F5A0C">
      <w:pPr>
        <w:spacing w:line="480" w:lineRule="auto"/>
      </w:pPr>
      <w:r>
        <w:rPr>
          <w:noProof/>
        </w:rPr>
        <w:drawing>
          <wp:inline distT="0" distB="0" distL="0" distR="0" wp14:anchorId="42348CE4" wp14:editId="750DDF51">
            <wp:extent cx="6727188" cy="3363595"/>
            <wp:effectExtent l="0" t="0" r="0" b="8255"/>
            <wp:docPr id="5" name="Picture 5"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rt&#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6756988" cy="3378495"/>
                    </a:xfrm>
                    <a:prstGeom prst="rect">
                      <a:avLst/>
                    </a:prstGeom>
                  </pic:spPr>
                </pic:pic>
              </a:graphicData>
            </a:graphic>
          </wp:inline>
        </w:drawing>
      </w:r>
    </w:p>
    <w:p w14:paraId="47F128F5" w14:textId="77777777" w:rsidR="003F5A0C" w:rsidRDefault="003F5A0C" w:rsidP="003F5A0C">
      <w:pPr>
        <w:pStyle w:val="Heading3"/>
        <w:spacing w:line="480" w:lineRule="auto"/>
      </w:pPr>
      <w:r>
        <w:t>Figure S1: Test results for participants in analysis who were enrolled as a close contact to a person with pulmonary TB and had a follow-up test result.</w:t>
      </w:r>
    </w:p>
    <w:p w14:paraId="09BD0D62" w14:textId="56F240A3" w:rsidR="003F5A0C" w:rsidRPr="002D1549" w:rsidRDefault="003F5A0C" w:rsidP="003F5A0C">
      <w:pPr>
        <w:spacing w:line="480" w:lineRule="auto"/>
      </w:pPr>
      <w:r>
        <w:t xml:space="preserve">Each row represents a participant, and each circle represents a test, colored by result. Only participants who were enrolled as close contacts with a follow-up test are shown. </w:t>
      </w:r>
      <w:r w:rsidRPr="00101C33">
        <w:rPr>
          <w:i/>
          <w:iCs/>
        </w:rPr>
        <w:t>Repeat</w:t>
      </w:r>
      <w:r>
        <w:t xml:space="preserve"> means the test was performed twice on two different blood samples taken 2–3 days apart. </w:t>
      </w:r>
      <w:r w:rsidRPr="00101C33">
        <w:rPr>
          <w:i/>
          <w:iCs/>
        </w:rPr>
        <w:t>Split</w:t>
      </w:r>
      <w:r>
        <w:t xml:space="preserve"> means the test was performed twice on the same sample taken at the same time. </w:t>
      </w:r>
      <w:r w:rsidRPr="00995771">
        <w:t>QFT, QuantiFERON Gold In-Tube; TSPOT, T-SPOT.</w:t>
      </w:r>
      <w:r w:rsidRPr="009179AB">
        <w:rPr>
          <w:i/>
          <w:iCs/>
        </w:rPr>
        <w:t>TB</w:t>
      </w:r>
    </w:p>
    <w:p w14:paraId="34B71BEE" w14:textId="77777777" w:rsidR="003F5A0C" w:rsidRPr="00AB1188" w:rsidRDefault="003F5A0C" w:rsidP="003F5A0C">
      <w:pPr>
        <w:spacing w:line="480" w:lineRule="auto"/>
      </w:pPr>
    </w:p>
    <w:p w14:paraId="6FB73D32" w14:textId="77777777" w:rsidR="003F5A0C" w:rsidRDefault="003F5A0C" w:rsidP="003F5A0C">
      <w:pPr>
        <w:spacing w:line="480" w:lineRule="auto"/>
      </w:pPr>
      <w:r>
        <w:br w:type="page"/>
      </w:r>
    </w:p>
    <w:p w14:paraId="63B388CB" w14:textId="77777777" w:rsidR="003F5A0C" w:rsidRDefault="003F5A0C" w:rsidP="003F5A0C">
      <w:pPr>
        <w:spacing w:line="480" w:lineRule="auto"/>
      </w:pPr>
      <w:r>
        <w:rPr>
          <w:noProof/>
          <w:sz w:val="16"/>
          <w:szCs w:val="16"/>
        </w:rPr>
        <w:lastRenderedPageBreak/>
        <w:drawing>
          <wp:inline distT="0" distB="0" distL="0" distR="0" wp14:anchorId="303D141F" wp14:editId="3239C01B">
            <wp:extent cx="5943600" cy="3302000"/>
            <wp:effectExtent l="0" t="0" r="0" b="0"/>
            <wp:docPr id="9" name="Picture 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Diagram&#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3302000"/>
                    </a:xfrm>
                    <a:prstGeom prst="rect">
                      <a:avLst/>
                    </a:prstGeom>
                  </pic:spPr>
                </pic:pic>
              </a:graphicData>
            </a:graphic>
          </wp:inline>
        </w:drawing>
      </w:r>
    </w:p>
    <w:p w14:paraId="7993C7A8" w14:textId="77777777" w:rsidR="003F5A0C" w:rsidRDefault="003F5A0C" w:rsidP="003F5A0C">
      <w:pPr>
        <w:pStyle w:val="Heading3"/>
        <w:spacing w:line="480" w:lineRule="auto"/>
      </w:pPr>
      <w:r>
        <w:t xml:space="preserve">Figure S2. Comparison of the </w:t>
      </w:r>
      <w:r w:rsidRPr="00995771">
        <w:t xml:space="preserve">QuantiFERON Gold In-Tube </w:t>
      </w:r>
      <w:r>
        <w:t xml:space="preserve">(QFT) repeat quantitative test results for discordant participants. </w:t>
      </w:r>
    </w:p>
    <w:p w14:paraId="355F7829" w14:textId="77777777" w:rsidR="003F5A0C" w:rsidRDefault="003F5A0C" w:rsidP="003F5A0C">
      <w:pPr>
        <w:spacing w:line="480" w:lineRule="auto"/>
      </w:pPr>
      <w:r>
        <w:t>QFT</w:t>
      </w:r>
      <w:r w:rsidRPr="000B5F57">
        <w:t xml:space="preserve"> was performed twice on two different blood samples taken 2–3 days apart. </w:t>
      </w:r>
      <w:r>
        <w:t>Each line connecting the first and second test represents a single participant. The left plot shows the results for participants who converted (first test negative, second test positive) while the right plot shows the participants who reverted (first test positive, second test negative). The gray box represents the negative test result region (&lt;0.35 IU/mL).</w:t>
      </w:r>
    </w:p>
    <w:p w14:paraId="2A9187C0" w14:textId="77777777" w:rsidR="003F5A0C" w:rsidRDefault="003F5A0C" w:rsidP="003F5A0C">
      <w:pPr>
        <w:spacing w:line="480" w:lineRule="auto"/>
        <w:rPr>
          <w:noProof/>
        </w:rPr>
      </w:pPr>
      <w:r>
        <w:rPr>
          <w:noProof/>
        </w:rPr>
        <w:br w:type="page"/>
      </w:r>
    </w:p>
    <w:p w14:paraId="2C1195D6" w14:textId="77777777" w:rsidR="003F5A0C" w:rsidRDefault="003F5A0C" w:rsidP="003F5A0C">
      <w:pPr>
        <w:spacing w:line="480" w:lineRule="auto"/>
      </w:pPr>
      <w:r>
        <w:rPr>
          <w:noProof/>
        </w:rPr>
        <w:lastRenderedPageBreak/>
        <w:drawing>
          <wp:inline distT="0" distB="0" distL="0" distR="0" wp14:anchorId="6C8B934A" wp14:editId="419E62A9">
            <wp:extent cx="5943600" cy="3302000"/>
            <wp:effectExtent l="0" t="0" r="0" b="0"/>
            <wp:docPr id="6" name="Picture 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3302000"/>
                    </a:xfrm>
                    <a:prstGeom prst="rect">
                      <a:avLst/>
                    </a:prstGeom>
                  </pic:spPr>
                </pic:pic>
              </a:graphicData>
            </a:graphic>
          </wp:inline>
        </w:drawing>
      </w:r>
    </w:p>
    <w:p w14:paraId="39ADF85A" w14:textId="77777777" w:rsidR="003F5A0C" w:rsidRDefault="003F5A0C" w:rsidP="003F5A0C">
      <w:pPr>
        <w:pStyle w:val="Heading3"/>
        <w:spacing w:line="480" w:lineRule="auto"/>
      </w:pPr>
      <w:r>
        <w:t xml:space="preserve">Figure S3. Comparison of the </w:t>
      </w:r>
      <w:r w:rsidRPr="00042766">
        <w:t>T-SPOT.</w:t>
      </w:r>
      <w:r w:rsidRPr="009179AB">
        <w:rPr>
          <w:i/>
          <w:iCs/>
        </w:rPr>
        <w:t>TB</w:t>
      </w:r>
      <w:r>
        <w:t xml:space="preserve"> (TSPOT) repeat quantitative test results for discordant participants. </w:t>
      </w:r>
    </w:p>
    <w:p w14:paraId="621D64B8" w14:textId="77777777" w:rsidR="003F5A0C" w:rsidRDefault="003F5A0C" w:rsidP="003F5A0C">
      <w:pPr>
        <w:spacing w:line="480" w:lineRule="auto"/>
      </w:pPr>
      <w:r>
        <w:t>TSPOT was</w:t>
      </w:r>
      <w:r w:rsidRPr="0066389B">
        <w:t xml:space="preserve"> performed twice on two different blood samples taken 2–3 days apart. </w:t>
      </w:r>
      <w:r>
        <w:t>Each line connecting the first and second test represents a single participant. The left plot shows the results for participants with quantitative results who converted (first test negative, second test positive) while the right plot shows the participants with quantitative results who reverted (first test positive, second test negative) when treating the U.S. borderline results as negative. Light gray indicates the borderline region, while dark gray indicates negative test result region.</w:t>
      </w:r>
    </w:p>
    <w:p w14:paraId="1CADC063" w14:textId="77777777" w:rsidR="003F5A0C" w:rsidRDefault="003F5A0C" w:rsidP="003F5A0C">
      <w:pPr>
        <w:spacing w:line="480" w:lineRule="auto"/>
        <w:rPr>
          <w:noProof/>
        </w:rPr>
      </w:pPr>
      <w:r>
        <w:rPr>
          <w:noProof/>
        </w:rPr>
        <w:br w:type="page"/>
      </w:r>
    </w:p>
    <w:p w14:paraId="50BA4BC3" w14:textId="77777777" w:rsidR="003F5A0C" w:rsidRDefault="003F5A0C" w:rsidP="003F5A0C">
      <w:pPr>
        <w:spacing w:line="480" w:lineRule="auto"/>
      </w:pPr>
      <w:r>
        <w:rPr>
          <w:noProof/>
        </w:rPr>
        <w:lastRenderedPageBreak/>
        <w:drawing>
          <wp:inline distT="0" distB="0" distL="0" distR="0" wp14:anchorId="743BD312" wp14:editId="361D4609">
            <wp:extent cx="5943600" cy="3302000"/>
            <wp:effectExtent l="0" t="0" r="0" b="0"/>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3302000"/>
                    </a:xfrm>
                    <a:prstGeom prst="rect">
                      <a:avLst/>
                    </a:prstGeom>
                  </pic:spPr>
                </pic:pic>
              </a:graphicData>
            </a:graphic>
          </wp:inline>
        </w:drawing>
      </w:r>
    </w:p>
    <w:p w14:paraId="15F961B7" w14:textId="77777777" w:rsidR="003F5A0C" w:rsidRDefault="003F5A0C" w:rsidP="003F5A0C">
      <w:pPr>
        <w:pStyle w:val="Heading3"/>
        <w:spacing w:line="480" w:lineRule="auto"/>
      </w:pPr>
      <w:r>
        <w:t>Figure S4. Comparison of the first</w:t>
      </w:r>
      <w:r w:rsidRPr="00733844">
        <w:t xml:space="preserve"> T-SPOT.</w:t>
      </w:r>
      <w:r w:rsidRPr="009179AB">
        <w:rPr>
          <w:i/>
          <w:iCs/>
        </w:rPr>
        <w:t>TB</w:t>
      </w:r>
      <w:r>
        <w:t xml:space="preserve"> (TSPOT) split quantitative test results for discordant participants. </w:t>
      </w:r>
    </w:p>
    <w:p w14:paraId="1B267636" w14:textId="77777777" w:rsidR="003F5A0C" w:rsidRDefault="003F5A0C" w:rsidP="003F5A0C">
      <w:pPr>
        <w:spacing w:line="480" w:lineRule="auto"/>
      </w:pPr>
      <w:r>
        <w:t xml:space="preserve">TSPOT </w:t>
      </w:r>
      <w:r w:rsidRPr="0066389B">
        <w:t>was performed twice on the same sample taken at the same time</w:t>
      </w:r>
      <w:r>
        <w:t>.</w:t>
      </w:r>
      <w:r w:rsidRPr="0066389B">
        <w:t xml:space="preserve"> </w:t>
      </w:r>
      <w:r>
        <w:t>Each line connecting the first and second test represents a single participant. The left plot shows the results for participants who converted (first test negative, second test positive) while the right plot shows the participants who reverted (first test positive, second test negative) when treating the U.S. borderline results as negative. Light gray indicates the borderline region, while dark gray indicates negative test result region.</w:t>
      </w:r>
    </w:p>
    <w:p w14:paraId="2D91A918" w14:textId="77777777" w:rsidR="003F5A0C" w:rsidRDefault="003F5A0C" w:rsidP="003F5A0C">
      <w:pPr>
        <w:spacing w:line="480" w:lineRule="auto"/>
        <w:rPr>
          <w:noProof/>
        </w:rPr>
      </w:pPr>
      <w:r>
        <w:rPr>
          <w:noProof/>
        </w:rPr>
        <w:br w:type="page"/>
      </w:r>
    </w:p>
    <w:p w14:paraId="4810CF64" w14:textId="77777777" w:rsidR="003F5A0C" w:rsidRDefault="003F5A0C" w:rsidP="003F5A0C">
      <w:pPr>
        <w:spacing w:line="480" w:lineRule="auto"/>
      </w:pPr>
      <w:r>
        <w:rPr>
          <w:noProof/>
        </w:rPr>
        <w:lastRenderedPageBreak/>
        <w:drawing>
          <wp:inline distT="0" distB="0" distL="0" distR="0" wp14:anchorId="1C14A1B6" wp14:editId="5E8C7FCF">
            <wp:extent cx="5943600" cy="4754880"/>
            <wp:effectExtent l="0" t="0" r="0" b="7620"/>
            <wp:docPr id="3" name="Picture 3"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 schematic&#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4754880"/>
                    </a:xfrm>
                    <a:prstGeom prst="rect">
                      <a:avLst/>
                    </a:prstGeom>
                  </pic:spPr>
                </pic:pic>
              </a:graphicData>
            </a:graphic>
          </wp:inline>
        </w:drawing>
      </w:r>
    </w:p>
    <w:p w14:paraId="47F108B8" w14:textId="77777777" w:rsidR="003F5A0C" w:rsidRDefault="003F5A0C" w:rsidP="003F5A0C">
      <w:pPr>
        <w:pStyle w:val="Heading3"/>
        <w:spacing w:line="480" w:lineRule="auto"/>
      </w:pPr>
      <w:r>
        <w:t>Figure S5. Bland-Altman plots for quantitative test results.</w:t>
      </w:r>
    </w:p>
    <w:p w14:paraId="04E84913" w14:textId="77777777" w:rsidR="003F5A0C" w:rsidRDefault="003F5A0C" w:rsidP="003F5A0C">
      <w:pPr>
        <w:spacing w:line="480" w:lineRule="auto"/>
      </w:pPr>
      <w:r>
        <w:t xml:space="preserve">Bland-Altman analysis for the two tests from (A,D) </w:t>
      </w:r>
      <w:r w:rsidRPr="003A291E">
        <w:t xml:space="preserve">QuantiFERON Gold In-Tube </w:t>
      </w:r>
      <w:r>
        <w:t xml:space="preserve">(QFT) repeat, (B,E) </w:t>
      </w:r>
      <w:r w:rsidRPr="009351BB">
        <w:t>T-SPOT.</w:t>
      </w:r>
      <w:r w:rsidRPr="009179AB">
        <w:rPr>
          <w:i/>
          <w:iCs/>
        </w:rPr>
        <w:t>TB</w:t>
      </w:r>
      <w:r w:rsidRPr="009351BB">
        <w:t xml:space="preserve"> </w:t>
      </w:r>
      <w:r>
        <w:t xml:space="preserve">(TSPOT) repeat, and (C,F) TSPOT split. </w:t>
      </w:r>
      <w:r w:rsidRPr="008065CB">
        <w:rPr>
          <w:i/>
          <w:iCs/>
        </w:rPr>
        <w:t>Repeat</w:t>
      </w:r>
      <w:r w:rsidRPr="00DF6E37">
        <w:t xml:space="preserve"> means the test was performed twice on two different blood samples taken 2–3 days apart. </w:t>
      </w:r>
      <w:r w:rsidRPr="008065CB">
        <w:rPr>
          <w:i/>
          <w:iCs/>
        </w:rPr>
        <w:t>Split</w:t>
      </w:r>
      <w:r w:rsidRPr="00DF6E37">
        <w:t xml:space="preserve"> means the test was performed twice on the same sample taken at the same time.</w:t>
      </w:r>
      <w:r>
        <w:t xml:space="preserve"> (A-C) Contain all patients with a quantitative result where the dichotomous result was concordant (both tests positive or both tests negative). (D-F) Contain all patients with a quantitative result where the dichotomous result was discordant (one test positive and one test negative). The horizontal axis is the average of the two test results while the vertical axis is the first test minus the second test. The horizontal black line indicates the mean difference while the </w:t>
      </w:r>
      <w:r>
        <w:lastRenderedPageBreak/>
        <w:t xml:space="preserve">horizontal gray lines represent the lower and upper limits of agreement, calculated as the mean difference </w:t>
      </w:r>
      <w:r>
        <w:rPr>
          <w:rFonts w:cstheme="minorHAnsi"/>
        </w:rPr>
        <w:t>±</w:t>
      </w:r>
      <w:r>
        <w:t xml:space="preserve"> 1.96 </w:t>
      </w:r>
      <w:r>
        <w:rPr>
          <w:rFonts w:cstheme="minorHAnsi"/>
        </w:rPr>
        <w:t>×</w:t>
      </w:r>
      <w:r>
        <w:t xml:space="preserve"> standard deviation. The numbers above each of these three lines indicates their values. For QFT, all TB antigen minus nil values &gt;10 IU/mL were set to 10 IU/</w:t>
      </w:r>
      <w:proofErr w:type="spellStart"/>
      <w:r>
        <w:t>mL.</w:t>
      </w:r>
      <w:proofErr w:type="spellEnd"/>
      <w:r>
        <w:t xml:space="preserve"> For TSPOT, all spot counts with a value &gt;50 were set to 50.  </w:t>
      </w:r>
    </w:p>
    <w:p w14:paraId="5E48034A" w14:textId="77777777" w:rsidR="003F5A0C" w:rsidRDefault="003F5A0C" w:rsidP="003F5A0C">
      <w:pPr>
        <w:spacing w:line="480" w:lineRule="auto"/>
      </w:pPr>
      <w:r>
        <w:br w:type="page"/>
      </w:r>
    </w:p>
    <w:p w14:paraId="0BB3203A" w14:textId="77777777" w:rsidR="003F5A0C" w:rsidRDefault="003F5A0C" w:rsidP="003F5A0C">
      <w:pPr>
        <w:spacing w:line="480" w:lineRule="auto"/>
      </w:pPr>
      <w:r>
        <w:rPr>
          <w:noProof/>
        </w:rPr>
        <w:lastRenderedPageBreak/>
        <w:drawing>
          <wp:inline distT="0" distB="0" distL="0" distR="0" wp14:anchorId="4F1006FC" wp14:editId="34E8C2C5">
            <wp:extent cx="5943600" cy="1783080"/>
            <wp:effectExtent l="0" t="0" r="0" b="7620"/>
            <wp:docPr id="7" name="Picture 7"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har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1783080"/>
                    </a:xfrm>
                    <a:prstGeom prst="rect">
                      <a:avLst/>
                    </a:prstGeom>
                  </pic:spPr>
                </pic:pic>
              </a:graphicData>
            </a:graphic>
          </wp:inline>
        </w:drawing>
      </w:r>
    </w:p>
    <w:p w14:paraId="71E80B96" w14:textId="77777777" w:rsidR="003F5A0C" w:rsidRDefault="003F5A0C" w:rsidP="003F5A0C">
      <w:pPr>
        <w:pStyle w:val="Heading3"/>
        <w:spacing w:line="480" w:lineRule="auto"/>
      </w:pPr>
      <w:r>
        <w:t>Figure S6. Percentage of participants with discordant results as the cutoff is varied.</w:t>
      </w:r>
    </w:p>
    <w:p w14:paraId="6E11745F" w14:textId="26A7D687" w:rsidR="003F5A0C" w:rsidRDefault="003F5A0C" w:rsidP="003F5A0C">
      <w:pPr>
        <w:spacing w:line="480" w:lineRule="auto"/>
      </w:pPr>
      <w:r>
        <w:t xml:space="preserve">Tests with a value greater than the cutoff (horizontal axis) are considered positive. </w:t>
      </w:r>
      <w:r w:rsidRPr="008065CB">
        <w:rPr>
          <w:i/>
          <w:iCs/>
        </w:rPr>
        <w:t>Repeat</w:t>
      </w:r>
      <w:r w:rsidRPr="00DF6E37">
        <w:t xml:space="preserve"> means the test was performed twice on two different blood samples taken 2–3 days apart. </w:t>
      </w:r>
      <w:r w:rsidRPr="008065CB">
        <w:rPr>
          <w:i/>
          <w:iCs/>
        </w:rPr>
        <w:t>Split</w:t>
      </w:r>
      <w:r w:rsidRPr="00DF6E37">
        <w:t xml:space="preserve"> means the test was performed twice on the same sample taken at the same time.</w:t>
      </w:r>
      <w:r>
        <w:t xml:space="preserve"> (A) Percentage of discordant results (one test is negative and the other positive) in </w:t>
      </w:r>
      <w:r w:rsidRPr="009030BF">
        <w:t xml:space="preserve">QuantiFERON Gold In-Tube </w:t>
      </w:r>
      <w:r>
        <w:t xml:space="preserve">(QFT) repeat study when the TB antigen minus nil cutoff between positive and negative is varied. Current test cutoff is 0.35 IU/mL (vertical gray line). Note that the horizontal axis is on the log scale to better see the region around the cutoff (as opposed to the other panels, which are on a linear scale). (B-C) Percentage of discordant results in </w:t>
      </w:r>
      <w:r w:rsidRPr="009030BF">
        <w:t>T-SPOT.</w:t>
      </w:r>
      <w:r w:rsidRPr="009179AB">
        <w:rPr>
          <w:i/>
          <w:iCs/>
        </w:rPr>
        <w:t>TB</w:t>
      </w:r>
      <w:r w:rsidRPr="009030BF">
        <w:t xml:space="preserve"> </w:t>
      </w:r>
      <w:r>
        <w:t xml:space="preserve">(TSPOT) repeat study (B) or TSPOT split study (C) when the maximum number of spots for the cutoff between positive and negative is varied. Using the U.S. </w:t>
      </w:r>
      <w:r w:rsidRPr="00C47912">
        <w:t>Food and Drug Administration</w:t>
      </w:r>
      <w:r>
        <w:t xml:space="preserve"> (FDA)</w:t>
      </w:r>
      <w:r w:rsidRPr="00C47912">
        <w:t xml:space="preserve">-approved </w:t>
      </w:r>
      <w:r>
        <w:t>cutoff for positive</w:t>
      </w:r>
      <w:r>
        <w:fldChar w:fldCharType="begin"/>
      </w:r>
      <w:r>
        <w:instrText xml:space="preserve"> ADDIN EN.CITE &lt;EndNote&gt;&lt;Cite&gt;&lt;Author&gt;Oxford Immunotec&lt;/Author&gt;&lt;RecNum&gt;107&lt;/RecNum&gt;&lt;DisplayText&gt;(1)&lt;/DisplayText&gt;&lt;record&gt;&lt;rec-number&gt;107&lt;/rec-number&gt;&lt;foreign-keys&gt;&lt;key app="EN" db-id="v52f00wz7f5s9deedrpxdzxyzzvpdpwfepzw" timestamp="1605555338"&gt;107&lt;/key&gt;&lt;/foreign-keys&gt;&lt;ref-type name="Web Page"&gt;12&lt;/ref-type&gt;&lt;contributors&gt;&lt;authors&gt;&lt;author&gt;Oxford Immunotec,&lt;/author&gt;&lt;/authors&gt;&lt;/contributors&gt;&lt;titles&gt;&lt;title&gt;T-SPOT.TB Package Insert US version 8&lt;/title&gt;&lt;/titles&gt;&lt;number&gt;November 16, 2020&lt;/number&gt;&lt;dates&gt;&lt;/dates&gt;&lt;urls&gt;&lt;related-urls&gt;&lt;url&gt;https://www.tspot.com/wp-content/uploads/2020/09/TB-PI-US-0001-V8.pdf&lt;/url&gt;&lt;/related-urls&gt;&lt;/urls&gt;&lt;/record&gt;&lt;/Cite&gt;&lt;/EndNote&gt;</w:instrText>
      </w:r>
      <w:r>
        <w:fldChar w:fldCharType="separate"/>
      </w:r>
      <w:r>
        <w:rPr>
          <w:noProof/>
        </w:rPr>
        <w:t>(1)</w:t>
      </w:r>
      <w:r>
        <w:fldChar w:fldCharType="end"/>
      </w:r>
      <w:r>
        <w:t xml:space="preserve">, tests with 4 or fewer spots are interpreted as negative, 5–7 spots as borderline, and 8 or more spots as positive. The vertical gray line indicates 8 spots. </w:t>
      </w:r>
    </w:p>
    <w:p w14:paraId="2EAA5C85" w14:textId="77777777" w:rsidR="003F5A0C" w:rsidRDefault="003F5A0C" w:rsidP="003F5A0C">
      <w:pPr>
        <w:spacing w:line="480" w:lineRule="auto"/>
        <w:rPr>
          <w:noProof/>
        </w:rPr>
      </w:pPr>
      <w:r>
        <w:rPr>
          <w:noProof/>
        </w:rPr>
        <w:br w:type="page"/>
      </w:r>
    </w:p>
    <w:p w14:paraId="58AC2578" w14:textId="77777777" w:rsidR="003F5A0C" w:rsidRDefault="003F5A0C" w:rsidP="003F5A0C">
      <w:pPr>
        <w:spacing w:line="480" w:lineRule="auto"/>
      </w:pPr>
      <w:r>
        <w:rPr>
          <w:noProof/>
        </w:rPr>
        <w:lastRenderedPageBreak/>
        <w:drawing>
          <wp:inline distT="0" distB="0" distL="0" distR="0" wp14:anchorId="6084D582" wp14:editId="62FFC32D">
            <wp:extent cx="5943600" cy="2886710"/>
            <wp:effectExtent l="0" t="0" r="0" b="8890"/>
            <wp:docPr id="11" name="Picture 1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Chart&#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2886710"/>
                    </a:xfrm>
                    <a:prstGeom prst="rect">
                      <a:avLst/>
                    </a:prstGeom>
                  </pic:spPr>
                </pic:pic>
              </a:graphicData>
            </a:graphic>
          </wp:inline>
        </w:drawing>
      </w:r>
    </w:p>
    <w:p w14:paraId="5F264D8D" w14:textId="77777777" w:rsidR="003F5A0C" w:rsidRDefault="003F5A0C" w:rsidP="003F5A0C">
      <w:pPr>
        <w:pStyle w:val="Heading3"/>
        <w:spacing w:line="480" w:lineRule="auto"/>
      </w:pPr>
      <w:r>
        <w:t xml:space="preserve">Figure S7. Distribution of the differences between </w:t>
      </w:r>
      <w:r w:rsidRPr="009351BB">
        <w:t>T-SPOT.</w:t>
      </w:r>
      <w:r w:rsidRPr="009179AB">
        <w:rPr>
          <w:i/>
          <w:iCs/>
        </w:rPr>
        <w:t>TB</w:t>
      </w:r>
      <w:r w:rsidRPr="009351BB">
        <w:t xml:space="preserve"> </w:t>
      </w:r>
      <w:r>
        <w:t>(TSPOT) panel results.</w:t>
      </w:r>
    </w:p>
    <w:p w14:paraId="5B79F5B5" w14:textId="77777777" w:rsidR="003F5A0C" w:rsidRDefault="003F5A0C" w:rsidP="003F5A0C">
      <w:pPr>
        <w:spacing w:line="480" w:lineRule="auto"/>
      </w:pPr>
      <w:r>
        <w:t xml:space="preserve">Boxplot of the second test result minus the first test result for (A) TSPOT repeat and (B) TSPOT split. </w:t>
      </w:r>
      <w:r w:rsidRPr="008065CB">
        <w:rPr>
          <w:i/>
          <w:iCs/>
        </w:rPr>
        <w:t>Repeat</w:t>
      </w:r>
      <w:r>
        <w:t xml:space="preserve"> means the test was performed twice on two different blood samples taken 2–3 days apart. </w:t>
      </w:r>
      <w:r w:rsidRPr="008065CB">
        <w:rPr>
          <w:i/>
          <w:iCs/>
        </w:rPr>
        <w:t>Split</w:t>
      </w:r>
      <w:r>
        <w:t xml:space="preserve"> means the test was performed twice on the same sample taken at the same time. Maximum indicates maximum value of panel A minus nil and panel B minus nil, which is used clinically to determine whether the test was positive or negative. Panel A indicates the test panel A minus nil value. Panel B indicates the panel B minus nil value.</w:t>
      </w:r>
    </w:p>
    <w:p w14:paraId="70D418A3" w14:textId="77777777" w:rsidR="003F5A0C" w:rsidRDefault="003F5A0C" w:rsidP="003F5A0C">
      <w:pPr>
        <w:spacing w:line="480" w:lineRule="auto"/>
      </w:pPr>
    </w:p>
    <w:p w14:paraId="13C21709" w14:textId="77777777" w:rsidR="003F5A0C" w:rsidRDefault="003F5A0C" w:rsidP="003F5A0C">
      <w:pPr>
        <w:spacing w:line="480" w:lineRule="auto"/>
      </w:pPr>
      <w:r>
        <w:br w:type="page"/>
      </w:r>
    </w:p>
    <w:p w14:paraId="17FA6474" w14:textId="77777777" w:rsidR="003F5A0C" w:rsidRDefault="003F5A0C" w:rsidP="003F5A0C">
      <w:pPr>
        <w:pStyle w:val="Heading1"/>
        <w:spacing w:line="480" w:lineRule="auto"/>
        <w:sectPr w:rsidR="003F5A0C">
          <w:headerReference w:type="even" r:id="rId13"/>
          <w:headerReference w:type="default" r:id="rId14"/>
          <w:footerReference w:type="even" r:id="rId15"/>
          <w:footerReference w:type="default" r:id="rId16"/>
          <w:headerReference w:type="first" r:id="rId17"/>
          <w:footerReference w:type="first" r:id="rId18"/>
          <w:pgSz w:w="12240" w:h="15840"/>
          <w:pgMar w:top="1440" w:right="1440" w:bottom="1440" w:left="1440" w:header="720" w:footer="720" w:gutter="0"/>
          <w:cols w:space="720"/>
          <w:docGrid w:linePitch="360"/>
        </w:sectPr>
      </w:pPr>
    </w:p>
    <w:p w14:paraId="7BEC61BF" w14:textId="77777777" w:rsidR="003F5A0C" w:rsidRDefault="003F5A0C" w:rsidP="003F5A0C">
      <w:pPr>
        <w:pStyle w:val="Heading1"/>
        <w:spacing w:line="480" w:lineRule="auto"/>
      </w:pPr>
      <w:r>
        <w:lastRenderedPageBreak/>
        <w:t>Supplemental Tables</w:t>
      </w:r>
    </w:p>
    <w:tbl>
      <w:tblPr>
        <w:tblW w:w="7902" w:type="dxa"/>
        <w:tblLook w:val="04A0" w:firstRow="1" w:lastRow="0" w:firstColumn="1" w:lastColumn="0" w:noHBand="0" w:noVBand="1"/>
      </w:tblPr>
      <w:tblGrid>
        <w:gridCol w:w="960"/>
        <w:gridCol w:w="960"/>
        <w:gridCol w:w="1069"/>
        <w:gridCol w:w="743"/>
        <w:gridCol w:w="1068"/>
        <w:gridCol w:w="222"/>
        <w:gridCol w:w="1204"/>
        <w:gridCol w:w="838"/>
        <w:gridCol w:w="838"/>
      </w:tblGrid>
      <w:tr w:rsidR="003F5A0C" w:rsidRPr="00E3791E" w14:paraId="2DEDBFFA" w14:textId="77777777" w:rsidTr="00D950A1">
        <w:trPr>
          <w:trHeight w:val="300"/>
        </w:trPr>
        <w:tc>
          <w:tcPr>
            <w:tcW w:w="960" w:type="dxa"/>
            <w:tcBorders>
              <w:top w:val="nil"/>
              <w:left w:val="nil"/>
              <w:bottom w:val="nil"/>
              <w:right w:val="nil"/>
            </w:tcBorders>
            <w:shd w:val="clear" w:color="auto" w:fill="auto"/>
            <w:noWrap/>
            <w:vAlign w:val="center"/>
            <w:hideMark/>
          </w:tcPr>
          <w:p w14:paraId="366ED1A7" w14:textId="77777777" w:rsidR="003F5A0C" w:rsidRPr="00E3791E" w:rsidRDefault="003F5A0C" w:rsidP="00D950A1">
            <w:pPr>
              <w:spacing w:after="0" w:line="240" w:lineRule="auto"/>
              <w:jc w:val="center"/>
              <w:rPr>
                <w:rFonts w:ascii="Times New Roman" w:eastAsia="Times New Roman" w:hAnsi="Times New Roman" w:cs="Times New Roman"/>
                <w:sz w:val="24"/>
                <w:szCs w:val="24"/>
              </w:rPr>
            </w:pPr>
          </w:p>
        </w:tc>
        <w:tc>
          <w:tcPr>
            <w:tcW w:w="960" w:type="dxa"/>
            <w:tcBorders>
              <w:top w:val="nil"/>
              <w:left w:val="nil"/>
              <w:bottom w:val="nil"/>
              <w:right w:val="nil"/>
            </w:tcBorders>
            <w:shd w:val="clear" w:color="auto" w:fill="auto"/>
            <w:noWrap/>
            <w:vAlign w:val="center"/>
            <w:hideMark/>
          </w:tcPr>
          <w:p w14:paraId="546DB17C" w14:textId="77777777" w:rsidR="003F5A0C" w:rsidRPr="00E3791E" w:rsidRDefault="003F5A0C" w:rsidP="00D950A1">
            <w:pPr>
              <w:spacing w:after="0" w:line="240" w:lineRule="auto"/>
              <w:jc w:val="center"/>
              <w:rPr>
                <w:rFonts w:ascii="Times New Roman" w:eastAsia="Times New Roman" w:hAnsi="Times New Roman" w:cs="Times New Roman"/>
                <w:sz w:val="20"/>
                <w:szCs w:val="20"/>
              </w:rPr>
            </w:pPr>
          </w:p>
        </w:tc>
        <w:tc>
          <w:tcPr>
            <w:tcW w:w="2880" w:type="dxa"/>
            <w:gridSpan w:val="3"/>
            <w:tcBorders>
              <w:top w:val="nil"/>
              <w:left w:val="nil"/>
              <w:bottom w:val="single" w:sz="8" w:space="0" w:color="auto"/>
              <w:right w:val="nil"/>
            </w:tcBorders>
            <w:shd w:val="clear" w:color="auto" w:fill="auto"/>
            <w:noWrap/>
            <w:vAlign w:val="center"/>
            <w:hideMark/>
          </w:tcPr>
          <w:p w14:paraId="0F3EB645" w14:textId="77777777" w:rsidR="003F5A0C" w:rsidRPr="00E3791E" w:rsidRDefault="003F5A0C" w:rsidP="00D950A1">
            <w:pPr>
              <w:spacing w:after="0" w:line="240" w:lineRule="auto"/>
              <w:jc w:val="center"/>
              <w:rPr>
                <w:rFonts w:ascii="Calibri" w:eastAsia="Times New Roman" w:hAnsi="Calibri" w:cs="Calibri"/>
                <w:b/>
                <w:bCs/>
                <w:color w:val="000000"/>
              </w:rPr>
            </w:pPr>
            <w:r w:rsidRPr="00E3791E">
              <w:rPr>
                <w:rFonts w:ascii="Calibri" w:eastAsia="Times New Roman" w:hAnsi="Calibri" w:cs="Calibri"/>
                <w:b/>
                <w:bCs/>
                <w:color w:val="000000"/>
              </w:rPr>
              <w:t>TSPOT repeat</w:t>
            </w:r>
          </w:p>
        </w:tc>
        <w:tc>
          <w:tcPr>
            <w:tcW w:w="222" w:type="dxa"/>
            <w:tcBorders>
              <w:top w:val="nil"/>
              <w:left w:val="nil"/>
              <w:bottom w:val="nil"/>
              <w:right w:val="nil"/>
            </w:tcBorders>
            <w:shd w:val="clear" w:color="auto" w:fill="auto"/>
            <w:noWrap/>
            <w:vAlign w:val="center"/>
            <w:hideMark/>
          </w:tcPr>
          <w:p w14:paraId="73E32ED5" w14:textId="77777777" w:rsidR="003F5A0C" w:rsidRPr="00E3791E" w:rsidRDefault="003F5A0C" w:rsidP="00D950A1">
            <w:pPr>
              <w:spacing w:after="0" w:line="240" w:lineRule="auto"/>
              <w:jc w:val="center"/>
              <w:rPr>
                <w:rFonts w:ascii="Calibri" w:eastAsia="Times New Roman" w:hAnsi="Calibri" w:cs="Calibri"/>
                <w:b/>
                <w:bCs/>
                <w:color w:val="000000"/>
              </w:rPr>
            </w:pPr>
          </w:p>
        </w:tc>
        <w:tc>
          <w:tcPr>
            <w:tcW w:w="2880" w:type="dxa"/>
            <w:gridSpan w:val="3"/>
            <w:tcBorders>
              <w:top w:val="nil"/>
              <w:left w:val="nil"/>
              <w:bottom w:val="single" w:sz="8" w:space="0" w:color="auto"/>
              <w:right w:val="nil"/>
            </w:tcBorders>
            <w:shd w:val="clear" w:color="auto" w:fill="auto"/>
            <w:noWrap/>
            <w:vAlign w:val="center"/>
            <w:hideMark/>
          </w:tcPr>
          <w:p w14:paraId="6D88A34D" w14:textId="77777777" w:rsidR="003F5A0C" w:rsidRPr="00E3791E" w:rsidRDefault="003F5A0C" w:rsidP="00D950A1">
            <w:pPr>
              <w:spacing w:after="0" w:line="240" w:lineRule="auto"/>
              <w:jc w:val="center"/>
              <w:rPr>
                <w:rFonts w:ascii="Calibri" w:eastAsia="Times New Roman" w:hAnsi="Calibri" w:cs="Calibri"/>
                <w:b/>
                <w:bCs/>
                <w:color w:val="000000"/>
              </w:rPr>
            </w:pPr>
            <w:r w:rsidRPr="00E3791E">
              <w:rPr>
                <w:rFonts w:ascii="Calibri" w:eastAsia="Times New Roman" w:hAnsi="Calibri" w:cs="Calibri"/>
                <w:b/>
                <w:bCs/>
                <w:color w:val="000000"/>
              </w:rPr>
              <w:t>TSPOT split</w:t>
            </w:r>
          </w:p>
        </w:tc>
      </w:tr>
      <w:tr w:rsidR="003F5A0C" w:rsidRPr="00E3791E" w14:paraId="247AB614" w14:textId="77777777" w:rsidTr="00D950A1">
        <w:trPr>
          <w:trHeight w:val="300"/>
        </w:trPr>
        <w:tc>
          <w:tcPr>
            <w:tcW w:w="960" w:type="dxa"/>
            <w:tcBorders>
              <w:top w:val="nil"/>
              <w:left w:val="nil"/>
              <w:bottom w:val="nil"/>
              <w:right w:val="nil"/>
            </w:tcBorders>
            <w:shd w:val="clear" w:color="auto" w:fill="auto"/>
            <w:noWrap/>
            <w:vAlign w:val="center"/>
            <w:hideMark/>
          </w:tcPr>
          <w:p w14:paraId="14EAAF2B" w14:textId="77777777" w:rsidR="003F5A0C" w:rsidRPr="00E3791E" w:rsidRDefault="003F5A0C" w:rsidP="00D950A1">
            <w:pPr>
              <w:spacing w:after="0" w:line="240" w:lineRule="auto"/>
              <w:jc w:val="center"/>
              <w:rPr>
                <w:rFonts w:ascii="Calibri" w:eastAsia="Times New Roman" w:hAnsi="Calibri" w:cs="Calibri"/>
                <w:b/>
                <w:bCs/>
                <w:color w:val="000000"/>
              </w:rPr>
            </w:pPr>
          </w:p>
        </w:tc>
        <w:tc>
          <w:tcPr>
            <w:tcW w:w="960" w:type="dxa"/>
            <w:tcBorders>
              <w:top w:val="nil"/>
              <w:left w:val="nil"/>
              <w:bottom w:val="nil"/>
              <w:right w:val="nil"/>
            </w:tcBorders>
            <w:shd w:val="clear" w:color="auto" w:fill="auto"/>
            <w:noWrap/>
            <w:vAlign w:val="center"/>
            <w:hideMark/>
          </w:tcPr>
          <w:p w14:paraId="0A4EB3D4" w14:textId="77777777" w:rsidR="003F5A0C" w:rsidRPr="00E3791E" w:rsidRDefault="003F5A0C" w:rsidP="00D950A1">
            <w:pPr>
              <w:spacing w:after="0" w:line="240" w:lineRule="auto"/>
              <w:jc w:val="center"/>
              <w:rPr>
                <w:rFonts w:ascii="Times New Roman" w:eastAsia="Times New Roman" w:hAnsi="Times New Roman" w:cs="Times New Roman"/>
                <w:sz w:val="20"/>
                <w:szCs w:val="20"/>
              </w:rPr>
            </w:pPr>
          </w:p>
        </w:tc>
        <w:tc>
          <w:tcPr>
            <w:tcW w:w="2880" w:type="dxa"/>
            <w:gridSpan w:val="3"/>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8559021" w14:textId="77777777" w:rsidR="003F5A0C" w:rsidRPr="00E3791E" w:rsidRDefault="003F5A0C" w:rsidP="00D950A1">
            <w:pPr>
              <w:spacing w:after="0" w:line="240" w:lineRule="auto"/>
              <w:jc w:val="center"/>
              <w:rPr>
                <w:rFonts w:ascii="Calibri" w:eastAsia="Times New Roman" w:hAnsi="Calibri" w:cs="Calibri"/>
                <w:color w:val="000000"/>
              </w:rPr>
            </w:pPr>
            <w:r w:rsidRPr="00E3791E">
              <w:rPr>
                <w:rFonts w:ascii="Calibri" w:eastAsia="Times New Roman" w:hAnsi="Calibri" w:cs="Calibri"/>
                <w:color w:val="000000"/>
              </w:rPr>
              <w:t>second test result</w:t>
            </w:r>
          </w:p>
        </w:tc>
        <w:tc>
          <w:tcPr>
            <w:tcW w:w="222" w:type="dxa"/>
            <w:tcBorders>
              <w:top w:val="nil"/>
              <w:left w:val="nil"/>
              <w:bottom w:val="nil"/>
              <w:right w:val="nil"/>
            </w:tcBorders>
            <w:shd w:val="clear" w:color="auto" w:fill="auto"/>
            <w:noWrap/>
            <w:vAlign w:val="center"/>
            <w:hideMark/>
          </w:tcPr>
          <w:p w14:paraId="5586F9BC" w14:textId="77777777" w:rsidR="003F5A0C" w:rsidRPr="00E3791E" w:rsidRDefault="003F5A0C" w:rsidP="00D950A1">
            <w:pPr>
              <w:spacing w:after="0" w:line="240" w:lineRule="auto"/>
              <w:jc w:val="center"/>
              <w:rPr>
                <w:rFonts w:ascii="Calibri" w:eastAsia="Times New Roman" w:hAnsi="Calibri" w:cs="Calibri"/>
                <w:color w:val="000000"/>
              </w:rPr>
            </w:pPr>
          </w:p>
        </w:tc>
        <w:tc>
          <w:tcPr>
            <w:tcW w:w="2880" w:type="dxa"/>
            <w:gridSpan w:val="3"/>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6278088" w14:textId="77777777" w:rsidR="003F5A0C" w:rsidRPr="00E3791E" w:rsidRDefault="003F5A0C" w:rsidP="00D950A1">
            <w:pPr>
              <w:spacing w:after="0" w:line="240" w:lineRule="auto"/>
              <w:jc w:val="center"/>
              <w:rPr>
                <w:rFonts w:ascii="Calibri" w:eastAsia="Times New Roman" w:hAnsi="Calibri" w:cs="Calibri"/>
                <w:color w:val="000000"/>
              </w:rPr>
            </w:pPr>
            <w:r w:rsidRPr="00E3791E">
              <w:rPr>
                <w:rFonts w:ascii="Calibri" w:eastAsia="Times New Roman" w:hAnsi="Calibri" w:cs="Calibri"/>
                <w:color w:val="000000"/>
              </w:rPr>
              <w:t>second test result</w:t>
            </w:r>
          </w:p>
        </w:tc>
      </w:tr>
      <w:tr w:rsidR="003F5A0C" w:rsidRPr="00E3791E" w14:paraId="7EE8BE9E" w14:textId="77777777" w:rsidTr="00D950A1">
        <w:trPr>
          <w:trHeight w:val="300"/>
        </w:trPr>
        <w:tc>
          <w:tcPr>
            <w:tcW w:w="960" w:type="dxa"/>
            <w:tcBorders>
              <w:top w:val="nil"/>
              <w:left w:val="nil"/>
              <w:bottom w:val="nil"/>
              <w:right w:val="nil"/>
            </w:tcBorders>
            <w:shd w:val="clear" w:color="auto" w:fill="auto"/>
            <w:noWrap/>
            <w:vAlign w:val="center"/>
            <w:hideMark/>
          </w:tcPr>
          <w:p w14:paraId="12A7DA7C" w14:textId="77777777" w:rsidR="003F5A0C" w:rsidRPr="00E3791E" w:rsidRDefault="003F5A0C" w:rsidP="00D950A1">
            <w:pPr>
              <w:spacing w:after="0" w:line="240" w:lineRule="auto"/>
              <w:jc w:val="center"/>
              <w:rPr>
                <w:rFonts w:ascii="Calibri" w:eastAsia="Times New Roman" w:hAnsi="Calibri" w:cs="Calibri"/>
                <w:color w:val="000000"/>
              </w:rPr>
            </w:pPr>
          </w:p>
        </w:tc>
        <w:tc>
          <w:tcPr>
            <w:tcW w:w="960" w:type="dxa"/>
            <w:tcBorders>
              <w:top w:val="nil"/>
              <w:left w:val="nil"/>
              <w:bottom w:val="nil"/>
              <w:right w:val="nil"/>
            </w:tcBorders>
            <w:shd w:val="clear" w:color="auto" w:fill="auto"/>
            <w:noWrap/>
            <w:vAlign w:val="center"/>
            <w:hideMark/>
          </w:tcPr>
          <w:p w14:paraId="4C7589E2" w14:textId="77777777" w:rsidR="003F5A0C" w:rsidRPr="00E3791E" w:rsidRDefault="003F5A0C" w:rsidP="00D950A1">
            <w:pPr>
              <w:spacing w:after="0" w:line="240" w:lineRule="auto"/>
              <w:jc w:val="center"/>
              <w:rPr>
                <w:rFonts w:ascii="Times New Roman" w:eastAsia="Times New Roman" w:hAnsi="Times New Roman" w:cs="Times New Roman"/>
                <w:sz w:val="20"/>
                <w:szCs w:val="20"/>
              </w:rPr>
            </w:pPr>
          </w:p>
        </w:tc>
        <w:tc>
          <w:tcPr>
            <w:tcW w:w="1069" w:type="dxa"/>
            <w:tcBorders>
              <w:top w:val="nil"/>
              <w:left w:val="single" w:sz="8" w:space="0" w:color="auto"/>
              <w:bottom w:val="single" w:sz="8" w:space="0" w:color="auto"/>
              <w:right w:val="single" w:sz="8" w:space="0" w:color="auto"/>
            </w:tcBorders>
            <w:shd w:val="clear" w:color="auto" w:fill="auto"/>
            <w:noWrap/>
            <w:vAlign w:val="center"/>
            <w:hideMark/>
          </w:tcPr>
          <w:p w14:paraId="54377DD7" w14:textId="77777777" w:rsidR="003F5A0C" w:rsidRPr="00E3791E" w:rsidRDefault="003F5A0C" w:rsidP="00D950A1">
            <w:pPr>
              <w:spacing w:after="0" w:line="240" w:lineRule="auto"/>
              <w:jc w:val="center"/>
              <w:rPr>
                <w:rFonts w:ascii="Calibri" w:eastAsia="Times New Roman" w:hAnsi="Calibri" w:cs="Calibri"/>
                <w:color w:val="000000"/>
              </w:rPr>
            </w:pPr>
            <w:r>
              <w:rPr>
                <w:rFonts w:ascii="Calibri" w:eastAsia="Times New Roman" w:hAnsi="Calibri" w:cs="Calibri"/>
                <w:color w:val="000000"/>
              </w:rPr>
              <w:t>−</w:t>
            </w:r>
          </w:p>
        </w:tc>
        <w:tc>
          <w:tcPr>
            <w:tcW w:w="743" w:type="dxa"/>
            <w:tcBorders>
              <w:top w:val="nil"/>
              <w:left w:val="nil"/>
              <w:bottom w:val="single" w:sz="8" w:space="0" w:color="auto"/>
              <w:right w:val="single" w:sz="8" w:space="0" w:color="auto"/>
            </w:tcBorders>
            <w:shd w:val="clear" w:color="auto" w:fill="auto"/>
            <w:noWrap/>
            <w:vAlign w:val="center"/>
            <w:hideMark/>
          </w:tcPr>
          <w:p w14:paraId="6FE379AB" w14:textId="77777777" w:rsidR="003F5A0C" w:rsidRPr="00E3791E" w:rsidRDefault="003F5A0C" w:rsidP="00D950A1">
            <w:pPr>
              <w:spacing w:after="0" w:line="240" w:lineRule="auto"/>
              <w:jc w:val="center"/>
              <w:rPr>
                <w:rFonts w:ascii="Calibri" w:eastAsia="Times New Roman" w:hAnsi="Calibri" w:cs="Calibri"/>
                <w:color w:val="000000"/>
              </w:rPr>
            </w:pPr>
            <w:r w:rsidRPr="00E3791E">
              <w:rPr>
                <w:rFonts w:ascii="Calibri" w:eastAsia="Times New Roman" w:hAnsi="Calibri" w:cs="Calibri"/>
                <w:color w:val="000000"/>
              </w:rPr>
              <w:t>B</w:t>
            </w:r>
          </w:p>
        </w:tc>
        <w:tc>
          <w:tcPr>
            <w:tcW w:w="1068" w:type="dxa"/>
            <w:tcBorders>
              <w:top w:val="nil"/>
              <w:left w:val="nil"/>
              <w:bottom w:val="single" w:sz="8" w:space="0" w:color="auto"/>
              <w:right w:val="single" w:sz="8" w:space="0" w:color="auto"/>
            </w:tcBorders>
            <w:shd w:val="clear" w:color="auto" w:fill="auto"/>
            <w:noWrap/>
            <w:vAlign w:val="center"/>
            <w:hideMark/>
          </w:tcPr>
          <w:p w14:paraId="04BF89CA" w14:textId="77777777" w:rsidR="003F5A0C" w:rsidRPr="00E3791E" w:rsidRDefault="003F5A0C" w:rsidP="00D950A1">
            <w:pPr>
              <w:spacing w:after="0" w:line="240" w:lineRule="auto"/>
              <w:jc w:val="center"/>
              <w:rPr>
                <w:rFonts w:ascii="Calibri" w:eastAsia="Times New Roman" w:hAnsi="Calibri" w:cs="Calibri"/>
                <w:color w:val="000000"/>
              </w:rPr>
            </w:pPr>
            <w:r w:rsidRPr="00E3791E">
              <w:rPr>
                <w:rFonts w:ascii="Calibri" w:eastAsia="Times New Roman" w:hAnsi="Calibri" w:cs="Calibri"/>
                <w:color w:val="000000"/>
              </w:rPr>
              <w:t>+</w:t>
            </w:r>
          </w:p>
        </w:tc>
        <w:tc>
          <w:tcPr>
            <w:tcW w:w="222" w:type="dxa"/>
            <w:tcBorders>
              <w:top w:val="nil"/>
              <w:left w:val="nil"/>
              <w:bottom w:val="nil"/>
              <w:right w:val="nil"/>
            </w:tcBorders>
            <w:shd w:val="clear" w:color="auto" w:fill="auto"/>
            <w:noWrap/>
            <w:vAlign w:val="center"/>
            <w:hideMark/>
          </w:tcPr>
          <w:p w14:paraId="4315B6D1" w14:textId="77777777" w:rsidR="003F5A0C" w:rsidRPr="00E3791E" w:rsidRDefault="003F5A0C" w:rsidP="00D950A1">
            <w:pPr>
              <w:spacing w:after="0" w:line="240" w:lineRule="auto"/>
              <w:jc w:val="center"/>
              <w:rPr>
                <w:rFonts w:ascii="Calibri" w:eastAsia="Times New Roman" w:hAnsi="Calibri" w:cs="Calibri"/>
                <w:color w:val="000000"/>
              </w:rPr>
            </w:pPr>
          </w:p>
        </w:tc>
        <w:tc>
          <w:tcPr>
            <w:tcW w:w="1204"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3133EC0" w14:textId="77777777" w:rsidR="003F5A0C" w:rsidRPr="00E3791E" w:rsidRDefault="003F5A0C" w:rsidP="00D950A1">
            <w:pPr>
              <w:spacing w:after="0" w:line="240" w:lineRule="auto"/>
              <w:jc w:val="center"/>
              <w:rPr>
                <w:rFonts w:ascii="Calibri" w:eastAsia="Times New Roman" w:hAnsi="Calibri" w:cs="Calibri"/>
                <w:color w:val="000000"/>
              </w:rPr>
            </w:pPr>
            <w:r>
              <w:rPr>
                <w:rFonts w:ascii="Calibri" w:eastAsia="Times New Roman" w:hAnsi="Calibri" w:cs="Calibri"/>
                <w:color w:val="000000"/>
              </w:rPr>
              <w:t>−</w:t>
            </w:r>
          </w:p>
        </w:tc>
        <w:tc>
          <w:tcPr>
            <w:tcW w:w="838" w:type="dxa"/>
            <w:tcBorders>
              <w:top w:val="single" w:sz="8" w:space="0" w:color="auto"/>
              <w:left w:val="nil"/>
              <w:bottom w:val="single" w:sz="8" w:space="0" w:color="auto"/>
              <w:right w:val="single" w:sz="8" w:space="0" w:color="auto"/>
            </w:tcBorders>
            <w:shd w:val="clear" w:color="auto" w:fill="auto"/>
            <w:noWrap/>
            <w:vAlign w:val="center"/>
            <w:hideMark/>
          </w:tcPr>
          <w:p w14:paraId="045B28E4" w14:textId="77777777" w:rsidR="003F5A0C" w:rsidRPr="00E3791E" w:rsidRDefault="003F5A0C" w:rsidP="00D950A1">
            <w:pPr>
              <w:spacing w:after="0" w:line="240" w:lineRule="auto"/>
              <w:jc w:val="center"/>
              <w:rPr>
                <w:rFonts w:ascii="Calibri" w:eastAsia="Times New Roman" w:hAnsi="Calibri" w:cs="Calibri"/>
                <w:color w:val="000000"/>
              </w:rPr>
            </w:pPr>
            <w:r w:rsidRPr="00E3791E">
              <w:rPr>
                <w:rFonts w:ascii="Calibri" w:eastAsia="Times New Roman" w:hAnsi="Calibri" w:cs="Calibri"/>
                <w:color w:val="000000"/>
              </w:rPr>
              <w:t>B</w:t>
            </w:r>
          </w:p>
        </w:tc>
        <w:tc>
          <w:tcPr>
            <w:tcW w:w="838" w:type="dxa"/>
            <w:tcBorders>
              <w:top w:val="single" w:sz="8" w:space="0" w:color="auto"/>
              <w:left w:val="nil"/>
              <w:bottom w:val="single" w:sz="8" w:space="0" w:color="auto"/>
              <w:right w:val="single" w:sz="8" w:space="0" w:color="auto"/>
            </w:tcBorders>
            <w:shd w:val="clear" w:color="auto" w:fill="auto"/>
            <w:noWrap/>
            <w:vAlign w:val="center"/>
            <w:hideMark/>
          </w:tcPr>
          <w:p w14:paraId="383C5DD6" w14:textId="77777777" w:rsidR="003F5A0C" w:rsidRPr="00E3791E" w:rsidRDefault="003F5A0C" w:rsidP="00D950A1">
            <w:pPr>
              <w:spacing w:after="0" w:line="240" w:lineRule="auto"/>
              <w:jc w:val="center"/>
              <w:rPr>
                <w:rFonts w:ascii="Calibri" w:eastAsia="Times New Roman" w:hAnsi="Calibri" w:cs="Calibri"/>
                <w:color w:val="000000"/>
              </w:rPr>
            </w:pPr>
            <w:r w:rsidRPr="00E3791E">
              <w:rPr>
                <w:rFonts w:ascii="Calibri" w:eastAsia="Times New Roman" w:hAnsi="Calibri" w:cs="Calibri"/>
                <w:color w:val="000000"/>
              </w:rPr>
              <w:t>+</w:t>
            </w:r>
          </w:p>
        </w:tc>
      </w:tr>
      <w:tr w:rsidR="003F5A0C" w:rsidRPr="00E3791E" w14:paraId="0DD761C7" w14:textId="77777777" w:rsidTr="00D950A1">
        <w:trPr>
          <w:trHeight w:val="300"/>
        </w:trPr>
        <w:tc>
          <w:tcPr>
            <w:tcW w:w="96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41E5B879" w14:textId="77777777" w:rsidR="003F5A0C" w:rsidRPr="00E3791E" w:rsidRDefault="003F5A0C" w:rsidP="00D950A1">
            <w:pPr>
              <w:spacing w:after="0" w:line="240" w:lineRule="auto"/>
              <w:jc w:val="center"/>
              <w:rPr>
                <w:rFonts w:ascii="Calibri" w:eastAsia="Times New Roman" w:hAnsi="Calibri" w:cs="Calibri"/>
                <w:color w:val="000000"/>
              </w:rPr>
            </w:pPr>
            <w:r w:rsidRPr="00E3791E">
              <w:rPr>
                <w:rFonts w:ascii="Calibri" w:eastAsia="Times New Roman" w:hAnsi="Calibri" w:cs="Calibri"/>
                <w:color w:val="000000"/>
              </w:rPr>
              <w:t>first test result</w:t>
            </w:r>
          </w:p>
        </w:tc>
        <w:tc>
          <w:tcPr>
            <w:tcW w:w="960" w:type="dxa"/>
            <w:tcBorders>
              <w:top w:val="single" w:sz="8" w:space="0" w:color="auto"/>
              <w:left w:val="nil"/>
              <w:bottom w:val="single" w:sz="8" w:space="0" w:color="auto"/>
              <w:right w:val="single" w:sz="8" w:space="0" w:color="auto"/>
            </w:tcBorders>
            <w:shd w:val="clear" w:color="auto" w:fill="auto"/>
            <w:noWrap/>
            <w:vAlign w:val="center"/>
            <w:hideMark/>
          </w:tcPr>
          <w:p w14:paraId="24E2C437" w14:textId="77777777" w:rsidR="003F5A0C" w:rsidRPr="00E3791E" w:rsidRDefault="003F5A0C" w:rsidP="00D950A1">
            <w:pPr>
              <w:spacing w:after="0" w:line="240" w:lineRule="auto"/>
              <w:jc w:val="center"/>
              <w:rPr>
                <w:rFonts w:ascii="Calibri" w:eastAsia="Times New Roman" w:hAnsi="Calibri" w:cs="Calibri"/>
                <w:color w:val="000000"/>
              </w:rPr>
            </w:pPr>
            <w:r>
              <w:rPr>
                <w:rFonts w:ascii="Calibri" w:eastAsia="Times New Roman" w:hAnsi="Calibri" w:cs="Calibri"/>
                <w:color w:val="000000"/>
              </w:rPr>
              <w:t>−</w:t>
            </w:r>
          </w:p>
        </w:tc>
        <w:tc>
          <w:tcPr>
            <w:tcW w:w="1069" w:type="dxa"/>
            <w:tcBorders>
              <w:top w:val="nil"/>
              <w:left w:val="nil"/>
              <w:bottom w:val="single" w:sz="8" w:space="0" w:color="auto"/>
              <w:right w:val="single" w:sz="8" w:space="0" w:color="auto"/>
            </w:tcBorders>
            <w:shd w:val="clear" w:color="auto" w:fill="auto"/>
            <w:noWrap/>
            <w:vAlign w:val="center"/>
            <w:hideMark/>
          </w:tcPr>
          <w:p w14:paraId="2A8E25AF" w14:textId="77777777" w:rsidR="003F5A0C" w:rsidRPr="00E3791E" w:rsidRDefault="003F5A0C" w:rsidP="00D950A1">
            <w:pPr>
              <w:spacing w:after="0" w:line="240" w:lineRule="auto"/>
              <w:jc w:val="center"/>
              <w:rPr>
                <w:rFonts w:ascii="Calibri" w:eastAsia="Times New Roman" w:hAnsi="Calibri" w:cs="Calibri"/>
                <w:color w:val="000000"/>
              </w:rPr>
            </w:pPr>
            <w:r w:rsidRPr="00E3791E">
              <w:rPr>
                <w:rFonts w:ascii="Calibri" w:eastAsia="Times New Roman" w:hAnsi="Calibri" w:cs="Calibri"/>
                <w:color w:val="000000"/>
              </w:rPr>
              <w:t>519</w:t>
            </w:r>
          </w:p>
        </w:tc>
        <w:tc>
          <w:tcPr>
            <w:tcW w:w="743" w:type="dxa"/>
            <w:tcBorders>
              <w:top w:val="nil"/>
              <w:left w:val="nil"/>
              <w:bottom w:val="single" w:sz="8" w:space="0" w:color="auto"/>
              <w:right w:val="single" w:sz="8" w:space="0" w:color="auto"/>
            </w:tcBorders>
            <w:shd w:val="clear" w:color="auto" w:fill="auto"/>
            <w:noWrap/>
            <w:vAlign w:val="center"/>
            <w:hideMark/>
          </w:tcPr>
          <w:p w14:paraId="2A486ACA" w14:textId="77777777" w:rsidR="003F5A0C" w:rsidRPr="00E3791E" w:rsidRDefault="003F5A0C" w:rsidP="00D950A1">
            <w:pPr>
              <w:spacing w:after="0" w:line="240" w:lineRule="auto"/>
              <w:jc w:val="center"/>
              <w:rPr>
                <w:rFonts w:ascii="Calibri" w:eastAsia="Times New Roman" w:hAnsi="Calibri" w:cs="Calibri"/>
                <w:color w:val="000000"/>
              </w:rPr>
            </w:pPr>
            <w:r w:rsidRPr="00E3791E">
              <w:rPr>
                <w:rFonts w:ascii="Calibri" w:eastAsia="Times New Roman" w:hAnsi="Calibri" w:cs="Calibri"/>
                <w:color w:val="000000"/>
              </w:rPr>
              <w:t>25</w:t>
            </w:r>
          </w:p>
        </w:tc>
        <w:tc>
          <w:tcPr>
            <w:tcW w:w="1068" w:type="dxa"/>
            <w:tcBorders>
              <w:top w:val="nil"/>
              <w:left w:val="nil"/>
              <w:bottom w:val="single" w:sz="8" w:space="0" w:color="auto"/>
              <w:right w:val="single" w:sz="8" w:space="0" w:color="auto"/>
            </w:tcBorders>
            <w:shd w:val="clear" w:color="auto" w:fill="auto"/>
            <w:noWrap/>
            <w:vAlign w:val="center"/>
            <w:hideMark/>
          </w:tcPr>
          <w:p w14:paraId="37359469" w14:textId="77777777" w:rsidR="003F5A0C" w:rsidRPr="00E3791E" w:rsidRDefault="003F5A0C" w:rsidP="00D950A1">
            <w:pPr>
              <w:spacing w:after="0" w:line="240" w:lineRule="auto"/>
              <w:jc w:val="center"/>
              <w:rPr>
                <w:rFonts w:ascii="Calibri" w:eastAsia="Times New Roman" w:hAnsi="Calibri" w:cs="Calibri"/>
                <w:color w:val="000000"/>
              </w:rPr>
            </w:pPr>
            <w:r w:rsidRPr="00E3791E">
              <w:rPr>
                <w:rFonts w:ascii="Calibri" w:eastAsia="Times New Roman" w:hAnsi="Calibri" w:cs="Calibri"/>
                <w:color w:val="000000"/>
              </w:rPr>
              <w:t>10</w:t>
            </w:r>
          </w:p>
        </w:tc>
        <w:tc>
          <w:tcPr>
            <w:tcW w:w="222" w:type="dxa"/>
            <w:tcBorders>
              <w:top w:val="nil"/>
              <w:left w:val="nil"/>
              <w:bottom w:val="nil"/>
              <w:right w:val="single" w:sz="8" w:space="0" w:color="auto"/>
            </w:tcBorders>
            <w:shd w:val="clear" w:color="auto" w:fill="auto"/>
            <w:noWrap/>
            <w:vAlign w:val="center"/>
            <w:hideMark/>
          </w:tcPr>
          <w:p w14:paraId="1D8B4F7F" w14:textId="77777777" w:rsidR="003F5A0C" w:rsidRPr="00E3791E" w:rsidRDefault="003F5A0C" w:rsidP="00D950A1">
            <w:pPr>
              <w:spacing w:after="0" w:line="240" w:lineRule="auto"/>
              <w:jc w:val="center"/>
              <w:rPr>
                <w:rFonts w:ascii="Calibri" w:eastAsia="Times New Roman" w:hAnsi="Calibri" w:cs="Calibri"/>
                <w:color w:val="000000"/>
              </w:rPr>
            </w:pPr>
          </w:p>
        </w:tc>
        <w:tc>
          <w:tcPr>
            <w:tcW w:w="1204"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4757C54" w14:textId="77777777" w:rsidR="003F5A0C" w:rsidRPr="00E3791E" w:rsidRDefault="003F5A0C" w:rsidP="00D950A1">
            <w:pPr>
              <w:spacing w:after="0" w:line="240" w:lineRule="auto"/>
              <w:jc w:val="center"/>
              <w:rPr>
                <w:rFonts w:ascii="Calibri" w:eastAsia="Times New Roman" w:hAnsi="Calibri" w:cs="Calibri"/>
                <w:color w:val="000000"/>
              </w:rPr>
            </w:pPr>
            <w:r w:rsidRPr="00E3791E">
              <w:rPr>
                <w:rFonts w:ascii="Calibri" w:eastAsia="Times New Roman" w:hAnsi="Calibri" w:cs="Calibri"/>
                <w:color w:val="000000"/>
              </w:rPr>
              <w:t>366</w:t>
            </w:r>
          </w:p>
        </w:tc>
        <w:tc>
          <w:tcPr>
            <w:tcW w:w="838"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A2F570B" w14:textId="77777777" w:rsidR="003F5A0C" w:rsidRPr="00E3791E" w:rsidRDefault="003F5A0C" w:rsidP="00D950A1">
            <w:pPr>
              <w:spacing w:after="0" w:line="240" w:lineRule="auto"/>
              <w:jc w:val="center"/>
              <w:rPr>
                <w:rFonts w:ascii="Calibri" w:eastAsia="Times New Roman" w:hAnsi="Calibri" w:cs="Calibri"/>
                <w:color w:val="000000"/>
              </w:rPr>
            </w:pPr>
            <w:r w:rsidRPr="00E3791E">
              <w:rPr>
                <w:rFonts w:ascii="Calibri" w:eastAsia="Times New Roman" w:hAnsi="Calibri" w:cs="Calibri"/>
                <w:color w:val="000000"/>
              </w:rPr>
              <w:t>17</w:t>
            </w:r>
          </w:p>
        </w:tc>
        <w:tc>
          <w:tcPr>
            <w:tcW w:w="838"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52B0122" w14:textId="77777777" w:rsidR="003F5A0C" w:rsidRPr="00E3791E" w:rsidRDefault="003F5A0C" w:rsidP="00D950A1">
            <w:pPr>
              <w:spacing w:after="0" w:line="240" w:lineRule="auto"/>
              <w:jc w:val="center"/>
              <w:rPr>
                <w:rFonts w:ascii="Calibri" w:eastAsia="Times New Roman" w:hAnsi="Calibri" w:cs="Calibri"/>
                <w:color w:val="000000"/>
              </w:rPr>
            </w:pPr>
            <w:r w:rsidRPr="00E3791E">
              <w:rPr>
                <w:rFonts w:ascii="Calibri" w:eastAsia="Times New Roman" w:hAnsi="Calibri" w:cs="Calibri"/>
                <w:color w:val="000000"/>
              </w:rPr>
              <w:t>11</w:t>
            </w:r>
          </w:p>
        </w:tc>
      </w:tr>
      <w:tr w:rsidR="003F5A0C" w:rsidRPr="00E3791E" w14:paraId="06B29538" w14:textId="77777777" w:rsidTr="00D950A1">
        <w:trPr>
          <w:trHeight w:val="300"/>
        </w:trPr>
        <w:tc>
          <w:tcPr>
            <w:tcW w:w="960" w:type="dxa"/>
            <w:vMerge/>
            <w:tcBorders>
              <w:top w:val="single" w:sz="8" w:space="0" w:color="auto"/>
              <w:left w:val="single" w:sz="8" w:space="0" w:color="auto"/>
              <w:bottom w:val="single" w:sz="8" w:space="0" w:color="000000"/>
              <w:right w:val="single" w:sz="8" w:space="0" w:color="auto"/>
            </w:tcBorders>
            <w:vAlign w:val="center"/>
            <w:hideMark/>
          </w:tcPr>
          <w:p w14:paraId="1ACEBC7A" w14:textId="77777777" w:rsidR="003F5A0C" w:rsidRPr="00E3791E" w:rsidRDefault="003F5A0C" w:rsidP="00D950A1">
            <w:pPr>
              <w:spacing w:after="0" w:line="240" w:lineRule="auto"/>
              <w:jc w:val="center"/>
              <w:rPr>
                <w:rFonts w:ascii="Calibri" w:eastAsia="Times New Roman" w:hAnsi="Calibri" w:cs="Calibri"/>
                <w:color w:val="000000"/>
              </w:rPr>
            </w:pPr>
          </w:p>
        </w:tc>
        <w:tc>
          <w:tcPr>
            <w:tcW w:w="960" w:type="dxa"/>
            <w:tcBorders>
              <w:top w:val="nil"/>
              <w:left w:val="nil"/>
              <w:bottom w:val="single" w:sz="8" w:space="0" w:color="auto"/>
              <w:right w:val="single" w:sz="8" w:space="0" w:color="auto"/>
            </w:tcBorders>
            <w:shd w:val="clear" w:color="auto" w:fill="auto"/>
            <w:noWrap/>
            <w:vAlign w:val="center"/>
            <w:hideMark/>
          </w:tcPr>
          <w:p w14:paraId="08215C1B" w14:textId="77777777" w:rsidR="003F5A0C" w:rsidRPr="00E3791E" w:rsidRDefault="003F5A0C" w:rsidP="00D950A1">
            <w:pPr>
              <w:spacing w:after="0" w:line="240" w:lineRule="auto"/>
              <w:jc w:val="center"/>
              <w:rPr>
                <w:rFonts w:ascii="Calibri" w:eastAsia="Times New Roman" w:hAnsi="Calibri" w:cs="Calibri"/>
                <w:color w:val="000000"/>
              </w:rPr>
            </w:pPr>
            <w:r w:rsidRPr="00E3791E">
              <w:rPr>
                <w:rFonts w:ascii="Calibri" w:eastAsia="Times New Roman" w:hAnsi="Calibri" w:cs="Calibri"/>
                <w:color w:val="000000"/>
              </w:rPr>
              <w:t>B</w:t>
            </w:r>
          </w:p>
        </w:tc>
        <w:tc>
          <w:tcPr>
            <w:tcW w:w="1069" w:type="dxa"/>
            <w:tcBorders>
              <w:top w:val="nil"/>
              <w:left w:val="nil"/>
              <w:bottom w:val="single" w:sz="8" w:space="0" w:color="auto"/>
              <w:right w:val="single" w:sz="8" w:space="0" w:color="auto"/>
            </w:tcBorders>
            <w:shd w:val="clear" w:color="auto" w:fill="auto"/>
            <w:noWrap/>
            <w:vAlign w:val="center"/>
            <w:hideMark/>
          </w:tcPr>
          <w:p w14:paraId="02D72BBD" w14:textId="77777777" w:rsidR="003F5A0C" w:rsidRPr="00E3791E" w:rsidRDefault="003F5A0C" w:rsidP="00D950A1">
            <w:pPr>
              <w:spacing w:after="0" w:line="240" w:lineRule="auto"/>
              <w:jc w:val="center"/>
              <w:rPr>
                <w:rFonts w:ascii="Calibri" w:eastAsia="Times New Roman" w:hAnsi="Calibri" w:cs="Calibri"/>
                <w:color w:val="000000"/>
              </w:rPr>
            </w:pPr>
            <w:r w:rsidRPr="00E3791E">
              <w:rPr>
                <w:rFonts w:ascii="Calibri" w:eastAsia="Times New Roman" w:hAnsi="Calibri" w:cs="Calibri"/>
                <w:color w:val="000000"/>
              </w:rPr>
              <w:t>20</w:t>
            </w:r>
          </w:p>
        </w:tc>
        <w:tc>
          <w:tcPr>
            <w:tcW w:w="743" w:type="dxa"/>
            <w:tcBorders>
              <w:top w:val="nil"/>
              <w:left w:val="nil"/>
              <w:bottom w:val="single" w:sz="8" w:space="0" w:color="auto"/>
              <w:right w:val="single" w:sz="8" w:space="0" w:color="auto"/>
            </w:tcBorders>
            <w:shd w:val="clear" w:color="auto" w:fill="auto"/>
            <w:noWrap/>
            <w:vAlign w:val="center"/>
            <w:hideMark/>
          </w:tcPr>
          <w:p w14:paraId="13B5A06B" w14:textId="77777777" w:rsidR="003F5A0C" w:rsidRPr="00E3791E" w:rsidRDefault="003F5A0C" w:rsidP="00D950A1">
            <w:pPr>
              <w:spacing w:after="0" w:line="240" w:lineRule="auto"/>
              <w:jc w:val="center"/>
              <w:rPr>
                <w:rFonts w:ascii="Calibri" w:eastAsia="Times New Roman" w:hAnsi="Calibri" w:cs="Calibri"/>
                <w:color w:val="000000"/>
              </w:rPr>
            </w:pPr>
            <w:r w:rsidRPr="00E3791E">
              <w:rPr>
                <w:rFonts w:ascii="Calibri" w:eastAsia="Times New Roman" w:hAnsi="Calibri" w:cs="Calibri"/>
                <w:color w:val="000000"/>
              </w:rPr>
              <w:t>14</w:t>
            </w:r>
          </w:p>
        </w:tc>
        <w:tc>
          <w:tcPr>
            <w:tcW w:w="1068" w:type="dxa"/>
            <w:tcBorders>
              <w:top w:val="nil"/>
              <w:left w:val="nil"/>
              <w:bottom w:val="single" w:sz="8" w:space="0" w:color="auto"/>
              <w:right w:val="single" w:sz="8" w:space="0" w:color="auto"/>
            </w:tcBorders>
            <w:shd w:val="clear" w:color="auto" w:fill="auto"/>
            <w:noWrap/>
            <w:vAlign w:val="center"/>
            <w:hideMark/>
          </w:tcPr>
          <w:p w14:paraId="39D7E98A" w14:textId="77777777" w:rsidR="003F5A0C" w:rsidRPr="00E3791E" w:rsidRDefault="003F5A0C" w:rsidP="00D950A1">
            <w:pPr>
              <w:spacing w:after="0" w:line="240" w:lineRule="auto"/>
              <w:jc w:val="center"/>
              <w:rPr>
                <w:rFonts w:ascii="Calibri" w:eastAsia="Times New Roman" w:hAnsi="Calibri" w:cs="Calibri"/>
                <w:color w:val="000000"/>
              </w:rPr>
            </w:pPr>
            <w:r w:rsidRPr="00E3791E">
              <w:rPr>
                <w:rFonts w:ascii="Calibri" w:eastAsia="Times New Roman" w:hAnsi="Calibri" w:cs="Calibri"/>
                <w:color w:val="000000"/>
              </w:rPr>
              <w:t>21</w:t>
            </w:r>
          </w:p>
        </w:tc>
        <w:tc>
          <w:tcPr>
            <w:tcW w:w="222" w:type="dxa"/>
            <w:tcBorders>
              <w:top w:val="nil"/>
              <w:left w:val="nil"/>
              <w:bottom w:val="nil"/>
              <w:right w:val="single" w:sz="8" w:space="0" w:color="auto"/>
            </w:tcBorders>
            <w:shd w:val="clear" w:color="auto" w:fill="auto"/>
            <w:noWrap/>
            <w:vAlign w:val="center"/>
            <w:hideMark/>
          </w:tcPr>
          <w:p w14:paraId="2B27143F" w14:textId="77777777" w:rsidR="003F5A0C" w:rsidRPr="00E3791E" w:rsidRDefault="003F5A0C" w:rsidP="00D950A1">
            <w:pPr>
              <w:spacing w:after="0" w:line="240" w:lineRule="auto"/>
              <w:jc w:val="center"/>
              <w:rPr>
                <w:rFonts w:ascii="Calibri" w:eastAsia="Times New Roman" w:hAnsi="Calibri" w:cs="Calibri"/>
                <w:color w:val="000000"/>
              </w:rPr>
            </w:pPr>
          </w:p>
        </w:tc>
        <w:tc>
          <w:tcPr>
            <w:tcW w:w="1204"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54088CF" w14:textId="77777777" w:rsidR="003F5A0C" w:rsidRPr="00E3791E" w:rsidRDefault="003F5A0C" w:rsidP="00D950A1">
            <w:pPr>
              <w:spacing w:after="0" w:line="240" w:lineRule="auto"/>
              <w:jc w:val="center"/>
              <w:rPr>
                <w:rFonts w:ascii="Calibri" w:eastAsia="Times New Roman" w:hAnsi="Calibri" w:cs="Calibri"/>
                <w:color w:val="000000"/>
              </w:rPr>
            </w:pPr>
            <w:r w:rsidRPr="00E3791E">
              <w:rPr>
                <w:rFonts w:ascii="Calibri" w:eastAsia="Times New Roman" w:hAnsi="Calibri" w:cs="Calibri"/>
                <w:color w:val="000000"/>
              </w:rPr>
              <w:t>10</w:t>
            </w:r>
          </w:p>
        </w:tc>
        <w:tc>
          <w:tcPr>
            <w:tcW w:w="838"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7CD3175" w14:textId="77777777" w:rsidR="003F5A0C" w:rsidRPr="00E3791E" w:rsidRDefault="003F5A0C" w:rsidP="00D950A1">
            <w:pPr>
              <w:spacing w:after="0" w:line="240" w:lineRule="auto"/>
              <w:jc w:val="center"/>
              <w:rPr>
                <w:rFonts w:ascii="Calibri" w:eastAsia="Times New Roman" w:hAnsi="Calibri" w:cs="Calibri"/>
                <w:color w:val="000000"/>
              </w:rPr>
            </w:pPr>
            <w:r w:rsidRPr="00E3791E">
              <w:rPr>
                <w:rFonts w:ascii="Calibri" w:eastAsia="Times New Roman" w:hAnsi="Calibri" w:cs="Calibri"/>
                <w:color w:val="000000"/>
              </w:rPr>
              <w:t>6</w:t>
            </w:r>
          </w:p>
        </w:tc>
        <w:tc>
          <w:tcPr>
            <w:tcW w:w="838"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5EF418D" w14:textId="77777777" w:rsidR="003F5A0C" w:rsidRPr="00E3791E" w:rsidRDefault="003F5A0C" w:rsidP="00D950A1">
            <w:pPr>
              <w:spacing w:after="0" w:line="240" w:lineRule="auto"/>
              <w:jc w:val="center"/>
              <w:rPr>
                <w:rFonts w:ascii="Calibri" w:eastAsia="Times New Roman" w:hAnsi="Calibri" w:cs="Calibri"/>
                <w:color w:val="000000"/>
              </w:rPr>
            </w:pPr>
            <w:r w:rsidRPr="00E3791E">
              <w:rPr>
                <w:rFonts w:ascii="Calibri" w:eastAsia="Times New Roman" w:hAnsi="Calibri" w:cs="Calibri"/>
                <w:color w:val="000000"/>
              </w:rPr>
              <w:t>11</w:t>
            </w:r>
          </w:p>
        </w:tc>
      </w:tr>
      <w:tr w:rsidR="003F5A0C" w:rsidRPr="00E3791E" w14:paraId="02BD51EF" w14:textId="77777777" w:rsidTr="00D950A1">
        <w:trPr>
          <w:trHeight w:val="300"/>
        </w:trPr>
        <w:tc>
          <w:tcPr>
            <w:tcW w:w="960" w:type="dxa"/>
            <w:vMerge/>
            <w:tcBorders>
              <w:top w:val="single" w:sz="8" w:space="0" w:color="auto"/>
              <w:left w:val="single" w:sz="8" w:space="0" w:color="auto"/>
              <w:bottom w:val="single" w:sz="8" w:space="0" w:color="000000"/>
              <w:right w:val="single" w:sz="8" w:space="0" w:color="auto"/>
            </w:tcBorders>
            <w:vAlign w:val="center"/>
            <w:hideMark/>
          </w:tcPr>
          <w:p w14:paraId="0C133467" w14:textId="77777777" w:rsidR="003F5A0C" w:rsidRPr="00E3791E" w:rsidRDefault="003F5A0C" w:rsidP="00D950A1">
            <w:pPr>
              <w:spacing w:after="0" w:line="240" w:lineRule="auto"/>
              <w:jc w:val="center"/>
              <w:rPr>
                <w:rFonts w:ascii="Calibri" w:eastAsia="Times New Roman" w:hAnsi="Calibri" w:cs="Calibri"/>
                <w:color w:val="000000"/>
              </w:rPr>
            </w:pPr>
          </w:p>
        </w:tc>
        <w:tc>
          <w:tcPr>
            <w:tcW w:w="960" w:type="dxa"/>
            <w:tcBorders>
              <w:top w:val="nil"/>
              <w:left w:val="nil"/>
              <w:bottom w:val="single" w:sz="8" w:space="0" w:color="auto"/>
              <w:right w:val="single" w:sz="8" w:space="0" w:color="auto"/>
            </w:tcBorders>
            <w:shd w:val="clear" w:color="auto" w:fill="auto"/>
            <w:noWrap/>
            <w:vAlign w:val="center"/>
            <w:hideMark/>
          </w:tcPr>
          <w:p w14:paraId="57CE0997" w14:textId="77777777" w:rsidR="003F5A0C" w:rsidRPr="00E3791E" w:rsidRDefault="003F5A0C" w:rsidP="00D950A1">
            <w:pPr>
              <w:spacing w:after="0" w:line="240" w:lineRule="auto"/>
              <w:jc w:val="center"/>
              <w:rPr>
                <w:rFonts w:ascii="Calibri" w:eastAsia="Times New Roman" w:hAnsi="Calibri" w:cs="Calibri"/>
                <w:color w:val="000000"/>
              </w:rPr>
            </w:pPr>
            <w:r w:rsidRPr="00E3791E">
              <w:rPr>
                <w:rFonts w:ascii="Calibri" w:eastAsia="Times New Roman" w:hAnsi="Calibri" w:cs="Calibri"/>
                <w:color w:val="000000"/>
              </w:rPr>
              <w:t>+</w:t>
            </w:r>
          </w:p>
        </w:tc>
        <w:tc>
          <w:tcPr>
            <w:tcW w:w="1069" w:type="dxa"/>
            <w:tcBorders>
              <w:top w:val="nil"/>
              <w:left w:val="nil"/>
              <w:bottom w:val="single" w:sz="8" w:space="0" w:color="auto"/>
              <w:right w:val="single" w:sz="8" w:space="0" w:color="auto"/>
            </w:tcBorders>
            <w:shd w:val="clear" w:color="auto" w:fill="auto"/>
            <w:noWrap/>
            <w:vAlign w:val="center"/>
            <w:hideMark/>
          </w:tcPr>
          <w:p w14:paraId="1652CC36" w14:textId="77777777" w:rsidR="003F5A0C" w:rsidRPr="00E3791E" w:rsidRDefault="003F5A0C" w:rsidP="00D950A1">
            <w:pPr>
              <w:spacing w:after="0" w:line="240" w:lineRule="auto"/>
              <w:jc w:val="center"/>
              <w:rPr>
                <w:rFonts w:ascii="Calibri" w:eastAsia="Times New Roman" w:hAnsi="Calibri" w:cs="Calibri"/>
                <w:color w:val="000000"/>
              </w:rPr>
            </w:pPr>
            <w:r w:rsidRPr="00E3791E">
              <w:rPr>
                <w:rFonts w:ascii="Calibri" w:eastAsia="Times New Roman" w:hAnsi="Calibri" w:cs="Calibri"/>
                <w:color w:val="000000"/>
              </w:rPr>
              <w:t>14</w:t>
            </w:r>
          </w:p>
        </w:tc>
        <w:tc>
          <w:tcPr>
            <w:tcW w:w="743" w:type="dxa"/>
            <w:tcBorders>
              <w:top w:val="nil"/>
              <w:left w:val="nil"/>
              <w:bottom w:val="single" w:sz="8" w:space="0" w:color="auto"/>
              <w:right w:val="single" w:sz="8" w:space="0" w:color="auto"/>
            </w:tcBorders>
            <w:shd w:val="clear" w:color="auto" w:fill="auto"/>
            <w:noWrap/>
            <w:vAlign w:val="center"/>
            <w:hideMark/>
          </w:tcPr>
          <w:p w14:paraId="0170EBBE" w14:textId="77777777" w:rsidR="003F5A0C" w:rsidRPr="00E3791E" w:rsidRDefault="003F5A0C" w:rsidP="00D950A1">
            <w:pPr>
              <w:spacing w:after="0" w:line="240" w:lineRule="auto"/>
              <w:jc w:val="center"/>
              <w:rPr>
                <w:rFonts w:ascii="Calibri" w:eastAsia="Times New Roman" w:hAnsi="Calibri" w:cs="Calibri"/>
                <w:color w:val="000000"/>
              </w:rPr>
            </w:pPr>
            <w:r w:rsidRPr="00E3791E">
              <w:rPr>
                <w:rFonts w:ascii="Calibri" w:eastAsia="Times New Roman" w:hAnsi="Calibri" w:cs="Calibri"/>
                <w:color w:val="000000"/>
              </w:rPr>
              <w:t>15</w:t>
            </w:r>
          </w:p>
        </w:tc>
        <w:tc>
          <w:tcPr>
            <w:tcW w:w="1068" w:type="dxa"/>
            <w:tcBorders>
              <w:top w:val="nil"/>
              <w:left w:val="nil"/>
              <w:bottom w:val="single" w:sz="8" w:space="0" w:color="auto"/>
              <w:right w:val="single" w:sz="8" w:space="0" w:color="auto"/>
            </w:tcBorders>
            <w:shd w:val="clear" w:color="auto" w:fill="auto"/>
            <w:noWrap/>
            <w:vAlign w:val="center"/>
            <w:hideMark/>
          </w:tcPr>
          <w:p w14:paraId="64108D5F" w14:textId="77777777" w:rsidR="003F5A0C" w:rsidRPr="00E3791E" w:rsidRDefault="003F5A0C" w:rsidP="00D950A1">
            <w:pPr>
              <w:spacing w:after="0" w:line="240" w:lineRule="auto"/>
              <w:jc w:val="center"/>
              <w:rPr>
                <w:rFonts w:ascii="Calibri" w:eastAsia="Times New Roman" w:hAnsi="Calibri" w:cs="Calibri"/>
                <w:color w:val="000000"/>
              </w:rPr>
            </w:pPr>
            <w:r w:rsidRPr="00E3791E">
              <w:rPr>
                <w:rFonts w:ascii="Calibri" w:eastAsia="Times New Roman" w:hAnsi="Calibri" w:cs="Calibri"/>
                <w:color w:val="000000"/>
              </w:rPr>
              <w:t>247</w:t>
            </w:r>
          </w:p>
        </w:tc>
        <w:tc>
          <w:tcPr>
            <w:tcW w:w="222" w:type="dxa"/>
            <w:tcBorders>
              <w:top w:val="nil"/>
              <w:left w:val="nil"/>
              <w:bottom w:val="nil"/>
              <w:right w:val="single" w:sz="8" w:space="0" w:color="auto"/>
            </w:tcBorders>
            <w:shd w:val="clear" w:color="auto" w:fill="auto"/>
            <w:noWrap/>
            <w:vAlign w:val="center"/>
            <w:hideMark/>
          </w:tcPr>
          <w:p w14:paraId="6A0C5BF0" w14:textId="77777777" w:rsidR="003F5A0C" w:rsidRPr="00E3791E" w:rsidRDefault="003F5A0C" w:rsidP="00D950A1">
            <w:pPr>
              <w:spacing w:after="0" w:line="240" w:lineRule="auto"/>
              <w:jc w:val="center"/>
              <w:rPr>
                <w:rFonts w:ascii="Calibri" w:eastAsia="Times New Roman" w:hAnsi="Calibri" w:cs="Calibri"/>
                <w:color w:val="000000"/>
              </w:rPr>
            </w:pPr>
          </w:p>
        </w:tc>
        <w:tc>
          <w:tcPr>
            <w:tcW w:w="1204"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72FF71A" w14:textId="77777777" w:rsidR="003F5A0C" w:rsidRPr="00E3791E" w:rsidRDefault="003F5A0C" w:rsidP="00D950A1">
            <w:pPr>
              <w:spacing w:after="0" w:line="240" w:lineRule="auto"/>
              <w:jc w:val="center"/>
              <w:rPr>
                <w:rFonts w:ascii="Calibri" w:eastAsia="Times New Roman" w:hAnsi="Calibri" w:cs="Calibri"/>
                <w:color w:val="000000"/>
              </w:rPr>
            </w:pPr>
            <w:r w:rsidRPr="00E3791E">
              <w:rPr>
                <w:rFonts w:ascii="Calibri" w:eastAsia="Times New Roman" w:hAnsi="Calibri" w:cs="Calibri"/>
                <w:color w:val="000000"/>
              </w:rPr>
              <w:t>12</w:t>
            </w:r>
          </w:p>
        </w:tc>
        <w:tc>
          <w:tcPr>
            <w:tcW w:w="838"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6279663" w14:textId="77777777" w:rsidR="003F5A0C" w:rsidRPr="00E3791E" w:rsidRDefault="003F5A0C" w:rsidP="00D950A1">
            <w:pPr>
              <w:spacing w:after="0" w:line="240" w:lineRule="auto"/>
              <w:jc w:val="center"/>
              <w:rPr>
                <w:rFonts w:ascii="Calibri" w:eastAsia="Times New Roman" w:hAnsi="Calibri" w:cs="Calibri"/>
                <w:color w:val="000000"/>
              </w:rPr>
            </w:pPr>
            <w:r w:rsidRPr="00E3791E">
              <w:rPr>
                <w:rFonts w:ascii="Calibri" w:eastAsia="Times New Roman" w:hAnsi="Calibri" w:cs="Calibri"/>
                <w:color w:val="000000"/>
              </w:rPr>
              <w:t>7</w:t>
            </w:r>
          </w:p>
        </w:tc>
        <w:tc>
          <w:tcPr>
            <w:tcW w:w="838"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7C103D8" w14:textId="77777777" w:rsidR="003F5A0C" w:rsidRPr="00E3791E" w:rsidRDefault="003F5A0C" w:rsidP="00D950A1">
            <w:pPr>
              <w:spacing w:after="0" w:line="240" w:lineRule="auto"/>
              <w:jc w:val="center"/>
              <w:rPr>
                <w:rFonts w:ascii="Calibri" w:eastAsia="Times New Roman" w:hAnsi="Calibri" w:cs="Calibri"/>
                <w:color w:val="000000"/>
              </w:rPr>
            </w:pPr>
            <w:r w:rsidRPr="00E3791E">
              <w:rPr>
                <w:rFonts w:ascii="Calibri" w:eastAsia="Times New Roman" w:hAnsi="Calibri" w:cs="Calibri"/>
                <w:color w:val="000000"/>
              </w:rPr>
              <w:t>91</w:t>
            </w:r>
          </w:p>
        </w:tc>
      </w:tr>
    </w:tbl>
    <w:p w14:paraId="33FCF6D9" w14:textId="77777777" w:rsidR="003F5A0C" w:rsidRDefault="003F5A0C" w:rsidP="003F5A0C">
      <w:pPr>
        <w:pStyle w:val="Heading3"/>
        <w:spacing w:line="480" w:lineRule="auto"/>
      </w:pPr>
      <w:r>
        <w:t>Table S1. Comparison of interpreted TSPOT.</w:t>
      </w:r>
      <w:r w:rsidRPr="00B64840">
        <w:rPr>
          <w:i/>
          <w:iCs/>
        </w:rPr>
        <w:t>TB</w:t>
      </w:r>
      <w:r>
        <w:t xml:space="preserve"> (TSPOT) repeat and split results with borderline (B; 5–7 spots) separated.</w:t>
      </w:r>
    </w:p>
    <w:p w14:paraId="0A969F15" w14:textId="6C22E6DF" w:rsidR="003F5A0C" w:rsidRDefault="008065CB" w:rsidP="003F5A0C">
      <w:pPr>
        <w:spacing w:line="480" w:lineRule="auto"/>
      </w:pPr>
      <w:r w:rsidRPr="00101C33">
        <w:rPr>
          <w:i/>
          <w:iCs/>
        </w:rPr>
        <w:t>Repeat</w:t>
      </w:r>
      <w:r>
        <w:t xml:space="preserve"> means the test was performed twice on two different blood samples taken 2–3 days apart. </w:t>
      </w:r>
      <w:r w:rsidRPr="00101C33">
        <w:rPr>
          <w:i/>
          <w:iCs/>
        </w:rPr>
        <w:t>Split</w:t>
      </w:r>
      <w:r>
        <w:t xml:space="preserve"> means the test was performed twice on the same sample taken at the same time. </w:t>
      </w:r>
      <w:r w:rsidR="003F5A0C">
        <w:br w:type="page"/>
      </w:r>
    </w:p>
    <w:tbl>
      <w:tblPr>
        <w:tblW w:w="5982" w:type="dxa"/>
        <w:tblLook w:val="04A0" w:firstRow="1" w:lastRow="0" w:firstColumn="1" w:lastColumn="0" w:noHBand="0" w:noVBand="1"/>
      </w:tblPr>
      <w:tblGrid>
        <w:gridCol w:w="960"/>
        <w:gridCol w:w="960"/>
        <w:gridCol w:w="960"/>
        <w:gridCol w:w="960"/>
        <w:gridCol w:w="222"/>
        <w:gridCol w:w="960"/>
        <w:gridCol w:w="960"/>
      </w:tblGrid>
      <w:tr w:rsidR="003F5A0C" w:rsidRPr="00E3791E" w14:paraId="2CD0F450" w14:textId="77777777" w:rsidTr="00D950A1">
        <w:trPr>
          <w:trHeight w:val="300"/>
        </w:trPr>
        <w:tc>
          <w:tcPr>
            <w:tcW w:w="960" w:type="dxa"/>
            <w:tcBorders>
              <w:top w:val="nil"/>
              <w:left w:val="nil"/>
              <w:bottom w:val="nil"/>
              <w:right w:val="nil"/>
            </w:tcBorders>
            <w:shd w:val="clear" w:color="auto" w:fill="auto"/>
            <w:noWrap/>
            <w:vAlign w:val="center"/>
            <w:hideMark/>
          </w:tcPr>
          <w:p w14:paraId="4F618E3E" w14:textId="77777777" w:rsidR="003F5A0C" w:rsidRPr="00E3791E" w:rsidRDefault="003F5A0C" w:rsidP="00D950A1">
            <w:pPr>
              <w:spacing w:after="0" w:line="240" w:lineRule="auto"/>
              <w:jc w:val="center"/>
              <w:rPr>
                <w:rFonts w:ascii="Times New Roman" w:eastAsia="Times New Roman" w:hAnsi="Times New Roman" w:cs="Times New Roman"/>
                <w:sz w:val="24"/>
                <w:szCs w:val="24"/>
              </w:rPr>
            </w:pPr>
          </w:p>
        </w:tc>
        <w:tc>
          <w:tcPr>
            <w:tcW w:w="960" w:type="dxa"/>
            <w:tcBorders>
              <w:top w:val="nil"/>
              <w:left w:val="nil"/>
              <w:bottom w:val="nil"/>
              <w:right w:val="nil"/>
            </w:tcBorders>
            <w:shd w:val="clear" w:color="auto" w:fill="auto"/>
            <w:noWrap/>
            <w:vAlign w:val="center"/>
            <w:hideMark/>
          </w:tcPr>
          <w:p w14:paraId="6C9AC167" w14:textId="77777777" w:rsidR="003F5A0C" w:rsidRPr="00E3791E" w:rsidRDefault="003F5A0C" w:rsidP="00D950A1">
            <w:pPr>
              <w:spacing w:after="0" w:line="240" w:lineRule="auto"/>
              <w:jc w:val="center"/>
              <w:rPr>
                <w:rFonts w:ascii="Times New Roman" w:eastAsia="Times New Roman" w:hAnsi="Times New Roman" w:cs="Times New Roman"/>
                <w:sz w:val="20"/>
                <w:szCs w:val="20"/>
              </w:rPr>
            </w:pPr>
          </w:p>
        </w:tc>
        <w:tc>
          <w:tcPr>
            <w:tcW w:w="1920" w:type="dxa"/>
            <w:gridSpan w:val="2"/>
            <w:tcBorders>
              <w:top w:val="nil"/>
              <w:left w:val="nil"/>
              <w:bottom w:val="single" w:sz="8" w:space="0" w:color="auto"/>
              <w:right w:val="nil"/>
            </w:tcBorders>
            <w:shd w:val="clear" w:color="auto" w:fill="auto"/>
            <w:noWrap/>
            <w:vAlign w:val="center"/>
            <w:hideMark/>
          </w:tcPr>
          <w:p w14:paraId="07FA874E" w14:textId="77777777" w:rsidR="003F5A0C" w:rsidRPr="00E3791E" w:rsidRDefault="003F5A0C" w:rsidP="00D950A1">
            <w:pPr>
              <w:spacing w:after="0" w:line="240" w:lineRule="auto"/>
              <w:jc w:val="center"/>
              <w:rPr>
                <w:rFonts w:ascii="Calibri" w:eastAsia="Times New Roman" w:hAnsi="Calibri" w:cs="Calibri"/>
                <w:b/>
                <w:bCs/>
                <w:color w:val="000000"/>
              </w:rPr>
            </w:pPr>
            <w:r w:rsidRPr="00E3791E">
              <w:rPr>
                <w:rFonts w:ascii="Calibri" w:eastAsia="Times New Roman" w:hAnsi="Calibri" w:cs="Calibri"/>
                <w:b/>
                <w:bCs/>
                <w:color w:val="000000"/>
              </w:rPr>
              <w:t>TSPOT repeat</w:t>
            </w:r>
          </w:p>
        </w:tc>
        <w:tc>
          <w:tcPr>
            <w:tcW w:w="222" w:type="dxa"/>
            <w:tcBorders>
              <w:top w:val="nil"/>
              <w:left w:val="nil"/>
              <w:bottom w:val="nil"/>
              <w:right w:val="nil"/>
            </w:tcBorders>
            <w:shd w:val="clear" w:color="auto" w:fill="auto"/>
            <w:noWrap/>
            <w:vAlign w:val="center"/>
            <w:hideMark/>
          </w:tcPr>
          <w:p w14:paraId="31256A9E" w14:textId="77777777" w:rsidR="003F5A0C" w:rsidRPr="00E3791E" w:rsidRDefault="003F5A0C" w:rsidP="00D950A1">
            <w:pPr>
              <w:spacing w:after="0" w:line="240" w:lineRule="auto"/>
              <w:jc w:val="center"/>
              <w:rPr>
                <w:rFonts w:ascii="Calibri" w:eastAsia="Times New Roman" w:hAnsi="Calibri" w:cs="Calibri"/>
                <w:b/>
                <w:bCs/>
                <w:color w:val="000000"/>
              </w:rPr>
            </w:pPr>
          </w:p>
        </w:tc>
        <w:tc>
          <w:tcPr>
            <w:tcW w:w="1920" w:type="dxa"/>
            <w:gridSpan w:val="2"/>
            <w:tcBorders>
              <w:top w:val="nil"/>
              <w:left w:val="nil"/>
              <w:bottom w:val="single" w:sz="8" w:space="0" w:color="auto"/>
              <w:right w:val="nil"/>
            </w:tcBorders>
            <w:shd w:val="clear" w:color="auto" w:fill="auto"/>
            <w:noWrap/>
            <w:vAlign w:val="center"/>
            <w:hideMark/>
          </w:tcPr>
          <w:p w14:paraId="0377FA7B" w14:textId="77777777" w:rsidR="003F5A0C" w:rsidRPr="00E3791E" w:rsidRDefault="003F5A0C" w:rsidP="00D950A1">
            <w:pPr>
              <w:spacing w:after="0" w:line="240" w:lineRule="auto"/>
              <w:jc w:val="center"/>
              <w:rPr>
                <w:rFonts w:ascii="Calibri" w:eastAsia="Times New Roman" w:hAnsi="Calibri" w:cs="Calibri"/>
                <w:b/>
                <w:bCs/>
                <w:color w:val="000000"/>
              </w:rPr>
            </w:pPr>
            <w:r w:rsidRPr="00E3791E">
              <w:rPr>
                <w:rFonts w:ascii="Calibri" w:eastAsia="Times New Roman" w:hAnsi="Calibri" w:cs="Calibri"/>
                <w:b/>
                <w:bCs/>
                <w:color w:val="000000"/>
              </w:rPr>
              <w:t>TSPOT split</w:t>
            </w:r>
          </w:p>
        </w:tc>
      </w:tr>
      <w:tr w:rsidR="003F5A0C" w:rsidRPr="00E3791E" w14:paraId="4E12B08F" w14:textId="77777777" w:rsidTr="00D950A1">
        <w:trPr>
          <w:trHeight w:val="300"/>
        </w:trPr>
        <w:tc>
          <w:tcPr>
            <w:tcW w:w="960" w:type="dxa"/>
            <w:tcBorders>
              <w:top w:val="nil"/>
              <w:left w:val="nil"/>
              <w:bottom w:val="nil"/>
              <w:right w:val="nil"/>
            </w:tcBorders>
            <w:shd w:val="clear" w:color="auto" w:fill="auto"/>
            <w:noWrap/>
            <w:vAlign w:val="center"/>
            <w:hideMark/>
          </w:tcPr>
          <w:p w14:paraId="67395A4E" w14:textId="77777777" w:rsidR="003F5A0C" w:rsidRPr="00E3791E" w:rsidRDefault="003F5A0C" w:rsidP="00D950A1">
            <w:pPr>
              <w:spacing w:after="0" w:line="240" w:lineRule="auto"/>
              <w:jc w:val="center"/>
              <w:rPr>
                <w:rFonts w:ascii="Calibri" w:eastAsia="Times New Roman" w:hAnsi="Calibri" w:cs="Calibri"/>
                <w:b/>
                <w:bCs/>
                <w:color w:val="000000"/>
              </w:rPr>
            </w:pPr>
          </w:p>
        </w:tc>
        <w:tc>
          <w:tcPr>
            <w:tcW w:w="960" w:type="dxa"/>
            <w:tcBorders>
              <w:top w:val="nil"/>
              <w:left w:val="nil"/>
              <w:bottom w:val="nil"/>
              <w:right w:val="nil"/>
            </w:tcBorders>
            <w:shd w:val="clear" w:color="auto" w:fill="auto"/>
            <w:noWrap/>
            <w:vAlign w:val="center"/>
            <w:hideMark/>
          </w:tcPr>
          <w:p w14:paraId="1E4A59D9" w14:textId="77777777" w:rsidR="003F5A0C" w:rsidRPr="00E3791E" w:rsidRDefault="003F5A0C" w:rsidP="00D950A1">
            <w:pPr>
              <w:spacing w:after="0" w:line="240" w:lineRule="auto"/>
              <w:jc w:val="center"/>
              <w:rPr>
                <w:rFonts w:ascii="Times New Roman" w:eastAsia="Times New Roman" w:hAnsi="Times New Roman" w:cs="Times New Roman"/>
                <w:sz w:val="20"/>
                <w:szCs w:val="20"/>
              </w:rPr>
            </w:pPr>
          </w:p>
        </w:tc>
        <w:tc>
          <w:tcPr>
            <w:tcW w:w="192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565A8CF" w14:textId="77777777" w:rsidR="003F5A0C" w:rsidRPr="00E3791E" w:rsidRDefault="003F5A0C" w:rsidP="00D950A1">
            <w:pPr>
              <w:spacing w:after="0" w:line="240" w:lineRule="auto"/>
              <w:jc w:val="center"/>
              <w:rPr>
                <w:rFonts w:ascii="Calibri" w:eastAsia="Times New Roman" w:hAnsi="Calibri" w:cs="Calibri"/>
                <w:color w:val="000000"/>
              </w:rPr>
            </w:pPr>
            <w:r w:rsidRPr="00E3791E">
              <w:rPr>
                <w:rFonts w:ascii="Calibri" w:eastAsia="Times New Roman" w:hAnsi="Calibri" w:cs="Calibri"/>
                <w:color w:val="000000"/>
              </w:rPr>
              <w:t>second test result</w:t>
            </w:r>
          </w:p>
        </w:tc>
        <w:tc>
          <w:tcPr>
            <w:tcW w:w="222" w:type="dxa"/>
            <w:tcBorders>
              <w:top w:val="nil"/>
              <w:left w:val="nil"/>
              <w:bottom w:val="nil"/>
              <w:right w:val="single" w:sz="8" w:space="0" w:color="auto"/>
            </w:tcBorders>
            <w:shd w:val="clear" w:color="auto" w:fill="auto"/>
            <w:noWrap/>
            <w:vAlign w:val="center"/>
            <w:hideMark/>
          </w:tcPr>
          <w:p w14:paraId="4809D1E9" w14:textId="77777777" w:rsidR="003F5A0C" w:rsidRPr="00E3791E" w:rsidRDefault="003F5A0C" w:rsidP="00D950A1">
            <w:pPr>
              <w:spacing w:after="0" w:line="240" w:lineRule="auto"/>
              <w:jc w:val="center"/>
              <w:rPr>
                <w:rFonts w:ascii="Calibri" w:eastAsia="Times New Roman" w:hAnsi="Calibri" w:cs="Calibri"/>
                <w:color w:val="000000"/>
              </w:rPr>
            </w:pPr>
          </w:p>
        </w:tc>
        <w:tc>
          <w:tcPr>
            <w:tcW w:w="1920" w:type="dxa"/>
            <w:gridSpan w:val="2"/>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BC6A0C6" w14:textId="77777777" w:rsidR="003F5A0C" w:rsidRPr="00E3791E" w:rsidRDefault="003F5A0C" w:rsidP="00D950A1">
            <w:pPr>
              <w:spacing w:after="0" w:line="240" w:lineRule="auto"/>
              <w:jc w:val="center"/>
              <w:rPr>
                <w:rFonts w:ascii="Calibri" w:eastAsia="Times New Roman" w:hAnsi="Calibri" w:cs="Calibri"/>
                <w:color w:val="000000"/>
              </w:rPr>
            </w:pPr>
            <w:r w:rsidRPr="00E3791E">
              <w:rPr>
                <w:rFonts w:ascii="Calibri" w:eastAsia="Times New Roman" w:hAnsi="Calibri" w:cs="Calibri"/>
                <w:color w:val="000000"/>
              </w:rPr>
              <w:t>second test result</w:t>
            </w:r>
          </w:p>
        </w:tc>
      </w:tr>
      <w:tr w:rsidR="003F5A0C" w:rsidRPr="00E3791E" w14:paraId="74618034" w14:textId="77777777" w:rsidTr="00D950A1">
        <w:trPr>
          <w:trHeight w:val="300"/>
        </w:trPr>
        <w:tc>
          <w:tcPr>
            <w:tcW w:w="960" w:type="dxa"/>
            <w:tcBorders>
              <w:top w:val="nil"/>
              <w:left w:val="nil"/>
              <w:bottom w:val="nil"/>
              <w:right w:val="nil"/>
            </w:tcBorders>
            <w:shd w:val="clear" w:color="auto" w:fill="auto"/>
            <w:noWrap/>
            <w:vAlign w:val="center"/>
            <w:hideMark/>
          </w:tcPr>
          <w:p w14:paraId="3E0C359E" w14:textId="77777777" w:rsidR="003F5A0C" w:rsidRPr="00E3791E" w:rsidRDefault="003F5A0C" w:rsidP="00D950A1">
            <w:pPr>
              <w:spacing w:after="0" w:line="240" w:lineRule="auto"/>
              <w:jc w:val="center"/>
              <w:rPr>
                <w:rFonts w:ascii="Calibri" w:eastAsia="Times New Roman" w:hAnsi="Calibri" w:cs="Calibri"/>
                <w:color w:val="000000"/>
              </w:rPr>
            </w:pPr>
          </w:p>
        </w:tc>
        <w:tc>
          <w:tcPr>
            <w:tcW w:w="960" w:type="dxa"/>
            <w:tcBorders>
              <w:top w:val="nil"/>
              <w:left w:val="nil"/>
              <w:bottom w:val="nil"/>
              <w:right w:val="nil"/>
            </w:tcBorders>
            <w:shd w:val="clear" w:color="auto" w:fill="auto"/>
            <w:noWrap/>
            <w:vAlign w:val="center"/>
            <w:hideMark/>
          </w:tcPr>
          <w:p w14:paraId="7571B5CD" w14:textId="77777777" w:rsidR="003F5A0C" w:rsidRPr="00E3791E" w:rsidRDefault="003F5A0C" w:rsidP="00D950A1">
            <w:pPr>
              <w:spacing w:after="0" w:line="240" w:lineRule="auto"/>
              <w:jc w:val="center"/>
              <w:rPr>
                <w:rFonts w:ascii="Times New Roman" w:eastAsia="Times New Roman" w:hAnsi="Times New Roman" w:cs="Times New Roman"/>
                <w:sz w:val="20"/>
                <w:szCs w:val="20"/>
              </w:rPr>
            </w:pPr>
          </w:p>
        </w:tc>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26587DA6" w14:textId="77777777" w:rsidR="003F5A0C" w:rsidRPr="006A7EEC" w:rsidRDefault="003F5A0C" w:rsidP="00D950A1">
            <w:pPr>
              <w:spacing w:after="0" w:line="240" w:lineRule="auto"/>
              <w:jc w:val="center"/>
              <w:rPr>
                <w:rFonts w:ascii="Calibri" w:eastAsia="Times New Roman" w:hAnsi="Calibri" w:cs="Calibri"/>
                <w:color w:val="000000"/>
              </w:rPr>
            </w:pPr>
            <w:r>
              <w:rPr>
                <w:rFonts w:ascii="Calibri" w:eastAsia="Times New Roman" w:hAnsi="Calibri" w:cs="Calibri"/>
                <w:color w:val="000000"/>
              </w:rPr>
              <w:t>−</w:t>
            </w:r>
          </w:p>
        </w:tc>
        <w:tc>
          <w:tcPr>
            <w:tcW w:w="960" w:type="dxa"/>
            <w:tcBorders>
              <w:top w:val="nil"/>
              <w:left w:val="nil"/>
              <w:bottom w:val="single" w:sz="8" w:space="0" w:color="auto"/>
              <w:right w:val="single" w:sz="8" w:space="0" w:color="auto"/>
            </w:tcBorders>
            <w:shd w:val="clear" w:color="auto" w:fill="auto"/>
            <w:noWrap/>
            <w:vAlign w:val="center"/>
            <w:hideMark/>
          </w:tcPr>
          <w:p w14:paraId="2BD90CAB" w14:textId="77777777" w:rsidR="003F5A0C" w:rsidRPr="00E3791E" w:rsidRDefault="003F5A0C" w:rsidP="00D950A1">
            <w:pPr>
              <w:spacing w:after="0" w:line="240" w:lineRule="auto"/>
              <w:jc w:val="center"/>
              <w:rPr>
                <w:rFonts w:ascii="Calibri" w:eastAsia="Times New Roman" w:hAnsi="Calibri" w:cs="Calibri"/>
                <w:color w:val="000000"/>
              </w:rPr>
            </w:pPr>
            <w:r w:rsidRPr="00E3791E">
              <w:rPr>
                <w:rFonts w:ascii="Calibri" w:eastAsia="Times New Roman" w:hAnsi="Calibri" w:cs="Calibri"/>
                <w:color w:val="000000"/>
              </w:rPr>
              <w:t>+</w:t>
            </w:r>
          </w:p>
        </w:tc>
        <w:tc>
          <w:tcPr>
            <w:tcW w:w="222" w:type="dxa"/>
            <w:tcBorders>
              <w:top w:val="nil"/>
              <w:left w:val="nil"/>
              <w:bottom w:val="nil"/>
              <w:right w:val="single" w:sz="8" w:space="0" w:color="auto"/>
            </w:tcBorders>
            <w:shd w:val="clear" w:color="auto" w:fill="auto"/>
            <w:noWrap/>
            <w:vAlign w:val="center"/>
            <w:hideMark/>
          </w:tcPr>
          <w:p w14:paraId="40C7BAE9" w14:textId="77777777" w:rsidR="003F5A0C" w:rsidRPr="00E3791E" w:rsidRDefault="003F5A0C" w:rsidP="00D950A1">
            <w:pPr>
              <w:spacing w:after="0" w:line="240" w:lineRule="auto"/>
              <w:jc w:val="center"/>
              <w:rPr>
                <w:rFonts w:ascii="Calibri" w:eastAsia="Times New Roman" w:hAnsi="Calibri" w:cs="Calibri"/>
                <w:color w:val="000000"/>
              </w:rPr>
            </w:pPr>
          </w:p>
        </w:tc>
        <w:tc>
          <w:tcPr>
            <w:tcW w:w="96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95A5EBA" w14:textId="77777777" w:rsidR="003F5A0C" w:rsidRPr="00E3791E" w:rsidRDefault="003F5A0C" w:rsidP="00D950A1">
            <w:pPr>
              <w:spacing w:after="0" w:line="240" w:lineRule="auto"/>
              <w:jc w:val="center"/>
              <w:rPr>
                <w:rFonts w:ascii="Calibri" w:eastAsia="Times New Roman" w:hAnsi="Calibri" w:cs="Calibri"/>
                <w:color w:val="000000"/>
              </w:rPr>
            </w:pPr>
            <w:r>
              <w:rPr>
                <w:rFonts w:ascii="Calibri" w:eastAsia="Times New Roman" w:hAnsi="Calibri" w:cs="Calibri"/>
                <w:color w:val="000000"/>
              </w:rPr>
              <w:t>−</w:t>
            </w:r>
          </w:p>
        </w:tc>
        <w:tc>
          <w:tcPr>
            <w:tcW w:w="96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AF0D67F" w14:textId="77777777" w:rsidR="003F5A0C" w:rsidRPr="00E3791E" w:rsidRDefault="003F5A0C" w:rsidP="00D950A1">
            <w:pPr>
              <w:spacing w:after="0" w:line="240" w:lineRule="auto"/>
              <w:jc w:val="center"/>
              <w:rPr>
                <w:rFonts w:ascii="Calibri" w:eastAsia="Times New Roman" w:hAnsi="Calibri" w:cs="Calibri"/>
                <w:color w:val="000000"/>
              </w:rPr>
            </w:pPr>
            <w:r w:rsidRPr="00E3791E">
              <w:rPr>
                <w:rFonts w:ascii="Calibri" w:eastAsia="Times New Roman" w:hAnsi="Calibri" w:cs="Calibri"/>
                <w:color w:val="000000"/>
              </w:rPr>
              <w:t>+</w:t>
            </w:r>
          </w:p>
        </w:tc>
      </w:tr>
      <w:tr w:rsidR="003F5A0C" w:rsidRPr="00E3791E" w14:paraId="01EE86E3" w14:textId="77777777" w:rsidTr="00D950A1">
        <w:trPr>
          <w:trHeight w:val="300"/>
        </w:trPr>
        <w:tc>
          <w:tcPr>
            <w:tcW w:w="96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5B804253" w14:textId="77777777" w:rsidR="003F5A0C" w:rsidRPr="00E3791E" w:rsidRDefault="003F5A0C" w:rsidP="00D950A1">
            <w:pPr>
              <w:spacing w:after="0" w:line="240" w:lineRule="auto"/>
              <w:jc w:val="center"/>
              <w:rPr>
                <w:rFonts w:ascii="Calibri" w:eastAsia="Times New Roman" w:hAnsi="Calibri" w:cs="Calibri"/>
                <w:color w:val="000000"/>
              </w:rPr>
            </w:pPr>
            <w:r w:rsidRPr="00E3791E">
              <w:rPr>
                <w:rFonts w:ascii="Calibri" w:eastAsia="Times New Roman" w:hAnsi="Calibri" w:cs="Calibri"/>
                <w:color w:val="000000"/>
              </w:rPr>
              <w:t>first test result</w:t>
            </w:r>
          </w:p>
        </w:tc>
        <w:tc>
          <w:tcPr>
            <w:tcW w:w="960" w:type="dxa"/>
            <w:tcBorders>
              <w:top w:val="single" w:sz="8" w:space="0" w:color="auto"/>
              <w:left w:val="nil"/>
              <w:bottom w:val="single" w:sz="8" w:space="0" w:color="auto"/>
              <w:right w:val="single" w:sz="8" w:space="0" w:color="auto"/>
            </w:tcBorders>
            <w:shd w:val="clear" w:color="auto" w:fill="auto"/>
            <w:noWrap/>
            <w:vAlign w:val="center"/>
            <w:hideMark/>
          </w:tcPr>
          <w:p w14:paraId="627D58AB" w14:textId="77777777" w:rsidR="003F5A0C" w:rsidRPr="00E3791E" w:rsidRDefault="003F5A0C" w:rsidP="00D950A1">
            <w:pPr>
              <w:spacing w:after="0" w:line="240" w:lineRule="auto"/>
              <w:jc w:val="center"/>
              <w:rPr>
                <w:rFonts w:ascii="Calibri" w:eastAsia="Times New Roman" w:hAnsi="Calibri" w:cs="Calibri"/>
                <w:color w:val="000000"/>
              </w:rPr>
            </w:pPr>
            <w:r>
              <w:rPr>
                <w:rFonts w:ascii="Calibri" w:eastAsia="Times New Roman" w:hAnsi="Calibri" w:cs="Calibri"/>
                <w:color w:val="000000"/>
              </w:rPr>
              <w:t>−</w:t>
            </w:r>
          </w:p>
        </w:tc>
        <w:tc>
          <w:tcPr>
            <w:tcW w:w="960" w:type="dxa"/>
            <w:tcBorders>
              <w:top w:val="nil"/>
              <w:left w:val="nil"/>
              <w:bottom w:val="single" w:sz="8" w:space="0" w:color="auto"/>
              <w:right w:val="single" w:sz="8" w:space="0" w:color="auto"/>
            </w:tcBorders>
            <w:shd w:val="clear" w:color="auto" w:fill="auto"/>
            <w:noWrap/>
            <w:vAlign w:val="center"/>
            <w:hideMark/>
          </w:tcPr>
          <w:p w14:paraId="7DBF953F" w14:textId="77777777" w:rsidR="003F5A0C" w:rsidRPr="00E3791E" w:rsidRDefault="003F5A0C" w:rsidP="00D950A1">
            <w:pPr>
              <w:spacing w:after="0" w:line="240" w:lineRule="auto"/>
              <w:jc w:val="center"/>
              <w:rPr>
                <w:rFonts w:ascii="Calibri" w:eastAsia="Times New Roman" w:hAnsi="Calibri" w:cs="Calibri"/>
                <w:color w:val="000000"/>
              </w:rPr>
            </w:pPr>
            <w:r w:rsidRPr="00E3791E">
              <w:rPr>
                <w:rFonts w:ascii="Calibri" w:eastAsia="Times New Roman" w:hAnsi="Calibri" w:cs="Calibri"/>
                <w:color w:val="000000"/>
              </w:rPr>
              <w:t>542</w:t>
            </w:r>
          </w:p>
        </w:tc>
        <w:tc>
          <w:tcPr>
            <w:tcW w:w="960" w:type="dxa"/>
            <w:tcBorders>
              <w:top w:val="nil"/>
              <w:left w:val="nil"/>
              <w:bottom w:val="single" w:sz="8" w:space="0" w:color="auto"/>
              <w:right w:val="single" w:sz="8" w:space="0" w:color="auto"/>
            </w:tcBorders>
            <w:shd w:val="clear" w:color="auto" w:fill="auto"/>
            <w:noWrap/>
            <w:vAlign w:val="center"/>
            <w:hideMark/>
          </w:tcPr>
          <w:p w14:paraId="39CD9F21" w14:textId="77777777" w:rsidR="003F5A0C" w:rsidRPr="00E3791E" w:rsidRDefault="003F5A0C" w:rsidP="00D950A1">
            <w:pPr>
              <w:spacing w:after="0" w:line="240" w:lineRule="auto"/>
              <w:jc w:val="center"/>
              <w:rPr>
                <w:rFonts w:ascii="Calibri" w:eastAsia="Times New Roman" w:hAnsi="Calibri" w:cs="Calibri"/>
                <w:color w:val="000000"/>
              </w:rPr>
            </w:pPr>
            <w:r w:rsidRPr="00E3791E">
              <w:rPr>
                <w:rFonts w:ascii="Calibri" w:eastAsia="Times New Roman" w:hAnsi="Calibri" w:cs="Calibri"/>
                <w:color w:val="000000"/>
              </w:rPr>
              <w:t>36</w:t>
            </w:r>
          </w:p>
        </w:tc>
        <w:tc>
          <w:tcPr>
            <w:tcW w:w="222" w:type="dxa"/>
            <w:tcBorders>
              <w:top w:val="nil"/>
              <w:left w:val="nil"/>
              <w:bottom w:val="nil"/>
              <w:right w:val="single" w:sz="8" w:space="0" w:color="auto"/>
            </w:tcBorders>
            <w:shd w:val="clear" w:color="auto" w:fill="auto"/>
            <w:noWrap/>
            <w:vAlign w:val="center"/>
            <w:hideMark/>
          </w:tcPr>
          <w:p w14:paraId="205E779A" w14:textId="77777777" w:rsidR="003F5A0C" w:rsidRPr="00E3791E" w:rsidRDefault="003F5A0C" w:rsidP="00D950A1">
            <w:pPr>
              <w:spacing w:after="0" w:line="240" w:lineRule="auto"/>
              <w:jc w:val="center"/>
              <w:rPr>
                <w:rFonts w:ascii="Calibri" w:eastAsia="Times New Roman" w:hAnsi="Calibri" w:cs="Calibri"/>
                <w:color w:val="000000"/>
              </w:rPr>
            </w:pPr>
          </w:p>
        </w:tc>
        <w:tc>
          <w:tcPr>
            <w:tcW w:w="96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31F14C7" w14:textId="77777777" w:rsidR="003F5A0C" w:rsidRPr="00E3791E" w:rsidRDefault="003F5A0C" w:rsidP="00D950A1">
            <w:pPr>
              <w:spacing w:after="0" w:line="240" w:lineRule="auto"/>
              <w:jc w:val="center"/>
              <w:rPr>
                <w:rFonts w:ascii="Calibri" w:eastAsia="Times New Roman" w:hAnsi="Calibri" w:cs="Calibri"/>
                <w:color w:val="000000"/>
              </w:rPr>
            </w:pPr>
            <w:r w:rsidRPr="00E3791E">
              <w:rPr>
                <w:rFonts w:ascii="Calibri" w:eastAsia="Times New Roman" w:hAnsi="Calibri" w:cs="Calibri"/>
                <w:color w:val="000000"/>
              </w:rPr>
              <w:t>379</w:t>
            </w:r>
          </w:p>
        </w:tc>
        <w:tc>
          <w:tcPr>
            <w:tcW w:w="96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A6CFB39" w14:textId="77777777" w:rsidR="003F5A0C" w:rsidRPr="00E3791E" w:rsidRDefault="003F5A0C" w:rsidP="00D950A1">
            <w:pPr>
              <w:spacing w:after="0" w:line="240" w:lineRule="auto"/>
              <w:jc w:val="center"/>
              <w:rPr>
                <w:rFonts w:ascii="Calibri" w:eastAsia="Times New Roman" w:hAnsi="Calibri" w:cs="Calibri"/>
                <w:color w:val="000000"/>
              </w:rPr>
            </w:pPr>
            <w:r w:rsidRPr="00E3791E">
              <w:rPr>
                <w:rFonts w:ascii="Calibri" w:eastAsia="Times New Roman" w:hAnsi="Calibri" w:cs="Calibri"/>
                <w:color w:val="000000"/>
              </w:rPr>
              <w:t>25</w:t>
            </w:r>
          </w:p>
        </w:tc>
      </w:tr>
      <w:tr w:rsidR="003F5A0C" w:rsidRPr="00E3791E" w14:paraId="6312662A" w14:textId="77777777" w:rsidTr="00D950A1">
        <w:trPr>
          <w:trHeight w:val="300"/>
        </w:trPr>
        <w:tc>
          <w:tcPr>
            <w:tcW w:w="960" w:type="dxa"/>
            <w:vMerge/>
            <w:tcBorders>
              <w:top w:val="single" w:sz="8" w:space="0" w:color="auto"/>
              <w:left w:val="single" w:sz="8" w:space="0" w:color="auto"/>
              <w:bottom w:val="single" w:sz="8" w:space="0" w:color="000000"/>
              <w:right w:val="single" w:sz="8" w:space="0" w:color="auto"/>
            </w:tcBorders>
            <w:vAlign w:val="center"/>
            <w:hideMark/>
          </w:tcPr>
          <w:p w14:paraId="36B96963" w14:textId="77777777" w:rsidR="003F5A0C" w:rsidRPr="00E3791E" w:rsidRDefault="003F5A0C" w:rsidP="00D950A1">
            <w:pPr>
              <w:spacing w:after="0" w:line="240" w:lineRule="auto"/>
              <w:jc w:val="center"/>
              <w:rPr>
                <w:rFonts w:ascii="Calibri" w:eastAsia="Times New Roman" w:hAnsi="Calibri" w:cs="Calibri"/>
                <w:color w:val="000000"/>
              </w:rPr>
            </w:pPr>
          </w:p>
        </w:tc>
        <w:tc>
          <w:tcPr>
            <w:tcW w:w="960" w:type="dxa"/>
            <w:tcBorders>
              <w:top w:val="nil"/>
              <w:left w:val="nil"/>
              <w:bottom w:val="single" w:sz="8" w:space="0" w:color="auto"/>
              <w:right w:val="single" w:sz="8" w:space="0" w:color="auto"/>
            </w:tcBorders>
            <w:shd w:val="clear" w:color="auto" w:fill="auto"/>
            <w:noWrap/>
            <w:vAlign w:val="center"/>
            <w:hideMark/>
          </w:tcPr>
          <w:p w14:paraId="020CDA48" w14:textId="77777777" w:rsidR="003F5A0C" w:rsidRPr="00E3791E" w:rsidRDefault="003F5A0C" w:rsidP="00D950A1">
            <w:pPr>
              <w:spacing w:after="0" w:line="240" w:lineRule="auto"/>
              <w:jc w:val="center"/>
              <w:rPr>
                <w:rFonts w:ascii="Calibri" w:eastAsia="Times New Roman" w:hAnsi="Calibri" w:cs="Calibri"/>
                <w:color w:val="000000"/>
              </w:rPr>
            </w:pPr>
            <w:r w:rsidRPr="00E3791E">
              <w:rPr>
                <w:rFonts w:ascii="Calibri" w:eastAsia="Times New Roman" w:hAnsi="Calibri" w:cs="Calibri"/>
                <w:color w:val="000000"/>
              </w:rPr>
              <w:t>+</w:t>
            </w:r>
          </w:p>
        </w:tc>
        <w:tc>
          <w:tcPr>
            <w:tcW w:w="960" w:type="dxa"/>
            <w:tcBorders>
              <w:top w:val="nil"/>
              <w:left w:val="nil"/>
              <w:bottom w:val="single" w:sz="8" w:space="0" w:color="auto"/>
              <w:right w:val="single" w:sz="8" w:space="0" w:color="auto"/>
            </w:tcBorders>
            <w:shd w:val="clear" w:color="auto" w:fill="auto"/>
            <w:noWrap/>
            <w:vAlign w:val="center"/>
            <w:hideMark/>
          </w:tcPr>
          <w:p w14:paraId="421EA212" w14:textId="77777777" w:rsidR="003F5A0C" w:rsidRPr="00E3791E" w:rsidRDefault="003F5A0C" w:rsidP="00D950A1">
            <w:pPr>
              <w:spacing w:after="0" w:line="240" w:lineRule="auto"/>
              <w:jc w:val="center"/>
              <w:rPr>
                <w:rFonts w:ascii="Calibri" w:eastAsia="Times New Roman" w:hAnsi="Calibri" w:cs="Calibri"/>
                <w:color w:val="000000"/>
              </w:rPr>
            </w:pPr>
            <w:r w:rsidRPr="00E3791E">
              <w:rPr>
                <w:rFonts w:ascii="Calibri" w:eastAsia="Times New Roman" w:hAnsi="Calibri" w:cs="Calibri"/>
                <w:color w:val="000000"/>
              </w:rPr>
              <w:t>26</w:t>
            </w:r>
          </w:p>
        </w:tc>
        <w:tc>
          <w:tcPr>
            <w:tcW w:w="960" w:type="dxa"/>
            <w:tcBorders>
              <w:top w:val="nil"/>
              <w:left w:val="nil"/>
              <w:bottom w:val="single" w:sz="8" w:space="0" w:color="auto"/>
              <w:right w:val="single" w:sz="8" w:space="0" w:color="auto"/>
            </w:tcBorders>
            <w:shd w:val="clear" w:color="auto" w:fill="auto"/>
            <w:noWrap/>
            <w:vAlign w:val="center"/>
            <w:hideMark/>
          </w:tcPr>
          <w:p w14:paraId="2C3C62EF" w14:textId="77777777" w:rsidR="003F5A0C" w:rsidRPr="00E3791E" w:rsidRDefault="003F5A0C" w:rsidP="00D950A1">
            <w:pPr>
              <w:spacing w:after="0" w:line="240" w:lineRule="auto"/>
              <w:jc w:val="center"/>
              <w:rPr>
                <w:rFonts w:ascii="Calibri" w:eastAsia="Times New Roman" w:hAnsi="Calibri" w:cs="Calibri"/>
                <w:color w:val="000000"/>
              </w:rPr>
            </w:pPr>
            <w:r w:rsidRPr="00E3791E">
              <w:rPr>
                <w:rFonts w:ascii="Calibri" w:eastAsia="Times New Roman" w:hAnsi="Calibri" w:cs="Calibri"/>
                <w:color w:val="000000"/>
              </w:rPr>
              <w:t>281</w:t>
            </w:r>
          </w:p>
        </w:tc>
        <w:tc>
          <w:tcPr>
            <w:tcW w:w="222" w:type="dxa"/>
            <w:tcBorders>
              <w:top w:val="nil"/>
              <w:left w:val="nil"/>
              <w:bottom w:val="nil"/>
              <w:right w:val="single" w:sz="8" w:space="0" w:color="auto"/>
            </w:tcBorders>
            <w:shd w:val="clear" w:color="auto" w:fill="auto"/>
            <w:noWrap/>
            <w:vAlign w:val="center"/>
            <w:hideMark/>
          </w:tcPr>
          <w:p w14:paraId="23AC45DD" w14:textId="77777777" w:rsidR="003F5A0C" w:rsidRPr="00E3791E" w:rsidRDefault="003F5A0C" w:rsidP="00D950A1">
            <w:pPr>
              <w:spacing w:after="0" w:line="240" w:lineRule="auto"/>
              <w:jc w:val="center"/>
              <w:rPr>
                <w:rFonts w:ascii="Calibri" w:eastAsia="Times New Roman" w:hAnsi="Calibri" w:cs="Calibri"/>
                <w:color w:val="000000"/>
              </w:rPr>
            </w:pPr>
          </w:p>
        </w:tc>
        <w:tc>
          <w:tcPr>
            <w:tcW w:w="96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300FD5D" w14:textId="77777777" w:rsidR="003F5A0C" w:rsidRPr="00E3791E" w:rsidRDefault="003F5A0C" w:rsidP="00D950A1">
            <w:pPr>
              <w:spacing w:after="0" w:line="240" w:lineRule="auto"/>
              <w:jc w:val="center"/>
              <w:rPr>
                <w:rFonts w:ascii="Calibri" w:eastAsia="Times New Roman" w:hAnsi="Calibri" w:cs="Calibri"/>
                <w:color w:val="000000"/>
              </w:rPr>
            </w:pPr>
            <w:r w:rsidRPr="00E3791E">
              <w:rPr>
                <w:rFonts w:ascii="Calibri" w:eastAsia="Times New Roman" w:hAnsi="Calibri" w:cs="Calibri"/>
                <w:color w:val="000000"/>
              </w:rPr>
              <w:t>21</w:t>
            </w:r>
          </w:p>
        </w:tc>
        <w:tc>
          <w:tcPr>
            <w:tcW w:w="96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8049699" w14:textId="77777777" w:rsidR="003F5A0C" w:rsidRPr="00E3791E" w:rsidRDefault="003F5A0C" w:rsidP="00D950A1">
            <w:pPr>
              <w:spacing w:after="0" w:line="240" w:lineRule="auto"/>
              <w:jc w:val="center"/>
              <w:rPr>
                <w:rFonts w:ascii="Calibri" w:eastAsia="Times New Roman" w:hAnsi="Calibri" w:cs="Calibri"/>
                <w:color w:val="000000"/>
              </w:rPr>
            </w:pPr>
            <w:r w:rsidRPr="00E3791E">
              <w:rPr>
                <w:rFonts w:ascii="Calibri" w:eastAsia="Times New Roman" w:hAnsi="Calibri" w:cs="Calibri"/>
                <w:color w:val="000000"/>
              </w:rPr>
              <w:t>106</w:t>
            </w:r>
          </w:p>
        </w:tc>
      </w:tr>
    </w:tbl>
    <w:p w14:paraId="53E63964" w14:textId="77777777" w:rsidR="003F5A0C" w:rsidRDefault="003F5A0C" w:rsidP="003F5A0C">
      <w:pPr>
        <w:pStyle w:val="Heading3"/>
        <w:spacing w:line="480" w:lineRule="auto"/>
      </w:pPr>
      <w:r>
        <w:t>Table S2. Comparison of interpreted TSPOT.</w:t>
      </w:r>
      <w:r w:rsidRPr="00B64840">
        <w:rPr>
          <w:i/>
          <w:iCs/>
        </w:rPr>
        <w:t>TB</w:t>
      </w:r>
      <w:r>
        <w:t xml:space="preserve"> (TSPOT) repeat and split results using the international cutoff (six or more spots is positive).</w:t>
      </w:r>
    </w:p>
    <w:p w14:paraId="4A26EE56" w14:textId="2205FBCE" w:rsidR="003F5A0C" w:rsidRDefault="008065CB">
      <w:r w:rsidRPr="00101C33">
        <w:rPr>
          <w:i/>
          <w:iCs/>
        </w:rPr>
        <w:t>Repeat</w:t>
      </w:r>
      <w:r>
        <w:t xml:space="preserve"> means the test was performed twice on two different blood samples taken 2–3 days apart. </w:t>
      </w:r>
      <w:r w:rsidRPr="00101C33">
        <w:rPr>
          <w:i/>
          <w:iCs/>
        </w:rPr>
        <w:t>Split</w:t>
      </w:r>
      <w:r>
        <w:t xml:space="preserve"> means the test was performed twice on the same sample taken at the same time.</w:t>
      </w:r>
    </w:p>
    <w:p w14:paraId="5A99C9A1" w14:textId="77777777" w:rsidR="008065CB" w:rsidRDefault="008065CB"/>
    <w:p w14:paraId="4E2319C6" w14:textId="54FE3EB0" w:rsidR="003F5A0C" w:rsidRDefault="003F5A0C" w:rsidP="003F5A0C">
      <w:pPr>
        <w:pStyle w:val="Heading1"/>
      </w:pPr>
      <w:r>
        <w:t>References</w:t>
      </w:r>
    </w:p>
    <w:p w14:paraId="36F6590B" w14:textId="6863B97E" w:rsidR="003F5A0C" w:rsidRPr="003F5A0C" w:rsidRDefault="003F5A0C" w:rsidP="003F5A0C">
      <w:pPr>
        <w:pStyle w:val="EndNoteBibliography"/>
      </w:pPr>
      <w:r>
        <w:fldChar w:fldCharType="begin"/>
      </w:r>
      <w:r>
        <w:instrText xml:space="preserve"> ADDIN EN.REFLIST </w:instrText>
      </w:r>
      <w:r>
        <w:fldChar w:fldCharType="separate"/>
      </w:r>
      <w:r w:rsidRPr="003F5A0C">
        <w:t>1.</w:t>
      </w:r>
      <w:r w:rsidRPr="003F5A0C">
        <w:tab/>
        <w:t>Oxford Immunotec. T-SPOT.TB Package Insert US version 8  [</w:t>
      </w:r>
      <w:r w:rsidR="006A0FBA">
        <w:t>cited 2020</w:t>
      </w:r>
      <w:r w:rsidR="00B96C5E">
        <w:t xml:space="preserve"> Nov 16]. </w:t>
      </w:r>
      <w:r w:rsidRPr="003F5A0C">
        <w:t xml:space="preserve">Available from: </w:t>
      </w:r>
      <w:hyperlink r:id="rId19" w:history="1">
        <w:r w:rsidRPr="003F5A0C">
          <w:rPr>
            <w:rStyle w:val="Hyperlink"/>
          </w:rPr>
          <w:t>https://www.tspot.com/wp-content/uploads/2020/09/TB-PI-US-0001-V8.pdf</w:t>
        </w:r>
      </w:hyperlink>
      <w:r w:rsidRPr="003F5A0C">
        <w:t>.</w:t>
      </w:r>
    </w:p>
    <w:p w14:paraId="750557A6" w14:textId="1DA3FB8F" w:rsidR="00E73112" w:rsidRDefault="003F5A0C">
      <w:r>
        <w:fldChar w:fldCharType="end"/>
      </w:r>
    </w:p>
    <w:sectPr w:rsidR="00E73112" w:rsidSect="0062220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34DA6B" w14:textId="77777777" w:rsidR="003F5A0C" w:rsidRDefault="003F5A0C" w:rsidP="003F5A0C">
      <w:pPr>
        <w:spacing w:after="0" w:line="240" w:lineRule="auto"/>
      </w:pPr>
      <w:r>
        <w:separator/>
      </w:r>
    </w:p>
  </w:endnote>
  <w:endnote w:type="continuationSeparator" w:id="0">
    <w:p w14:paraId="6A0C90AF" w14:textId="77777777" w:rsidR="003F5A0C" w:rsidRDefault="003F5A0C" w:rsidP="003F5A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CCB8B9" w14:textId="77777777" w:rsidR="003F5A0C" w:rsidRDefault="003F5A0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0173B8" w14:textId="77777777" w:rsidR="003F5A0C" w:rsidRDefault="003F5A0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981A45" w14:textId="77777777" w:rsidR="003F5A0C" w:rsidRDefault="003F5A0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6F7AA2" w14:textId="77777777" w:rsidR="003F5A0C" w:rsidRDefault="003F5A0C" w:rsidP="003F5A0C">
      <w:pPr>
        <w:spacing w:after="0" w:line="240" w:lineRule="auto"/>
      </w:pPr>
      <w:r>
        <w:separator/>
      </w:r>
    </w:p>
  </w:footnote>
  <w:footnote w:type="continuationSeparator" w:id="0">
    <w:p w14:paraId="6518742C" w14:textId="77777777" w:rsidR="003F5A0C" w:rsidRDefault="003F5A0C" w:rsidP="003F5A0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AC5B67" w14:textId="77777777" w:rsidR="003F5A0C" w:rsidRDefault="003F5A0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093569" w14:textId="77777777" w:rsidR="003F5A0C" w:rsidRDefault="003F5A0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5E4183" w14:textId="77777777" w:rsidR="003F5A0C" w:rsidRDefault="003F5A0C">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8"/>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Layout" w:val="&lt;ENLayout&gt;&lt;Style&gt;Vancouver&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v52f00wz7f5s9deedrpxdzxyzzvpdpwfepzw&quot;&gt;CDCTB-Converted&lt;record-ids&gt;&lt;item&gt;107&lt;/item&gt;&lt;/record-ids&gt;&lt;/item&gt;&lt;/Libraries&gt;"/>
  </w:docVars>
  <w:rsids>
    <w:rsidRoot w:val="003F5A0C"/>
    <w:rsid w:val="00101C33"/>
    <w:rsid w:val="003F5A0C"/>
    <w:rsid w:val="006A0FBA"/>
    <w:rsid w:val="008065CB"/>
    <w:rsid w:val="008D1427"/>
    <w:rsid w:val="00A43030"/>
    <w:rsid w:val="00B96C5E"/>
    <w:rsid w:val="00E731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787F76"/>
  <w15:chartTrackingRefBased/>
  <w15:docId w15:val="{9C2A9582-46F0-4C2B-A5B2-E7365940C6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F5A0C"/>
  </w:style>
  <w:style w:type="paragraph" w:styleId="Heading1">
    <w:name w:val="heading 1"/>
    <w:basedOn w:val="Normal"/>
    <w:next w:val="Normal"/>
    <w:link w:val="Heading1Char"/>
    <w:uiPriority w:val="9"/>
    <w:qFormat/>
    <w:rsid w:val="003F5A0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3F5A0C"/>
    <w:pPr>
      <w:keepNext/>
      <w:keepLines/>
      <w:spacing w:before="40" w:after="0"/>
      <w:outlineLvl w:val="2"/>
    </w:pPr>
    <w:rPr>
      <w:rFonts w:asciiTheme="majorHAnsi" w:eastAsiaTheme="majorEastAsia" w:hAnsiTheme="majorHAnsi" w:cstheme="majorBidi"/>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F5A0C"/>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3F5A0C"/>
    <w:rPr>
      <w:rFonts w:asciiTheme="majorHAnsi" w:eastAsiaTheme="majorEastAsia" w:hAnsiTheme="majorHAnsi" w:cstheme="majorBidi"/>
      <w:b/>
      <w:bCs/>
      <w:sz w:val="24"/>
      <w:szCs w:val="24"/>
    </w:rPr>
  </w:style>
  <w:style w:type="paragraph" w:customStyle="1" w:styleId="EndNoteBibliographyTitle">
    <w:name w:val="EndNote Bibliography Title"/>
    <w:basedOn w:val="Normal"/>
    <w:link w:val="EndNoteBibliographyTitleChar"/>
    <w:rsid w:val="003F5A0C"/>
    <w:pPr>
      <w:spacing w:after="0"/>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3F5A0C"/>
    <w:rPr>
      <w:rFonts w:ascii="Calibri" w:hAnsi="Calibri" w:cs="Calibri"/>
      <w:noProof/>
    </w:rPr>
  </w:style>
  <w:style w:type="paragraph" w:customStyle="1" w:styleId="EndNoteBibliography">
    <w:name w:val="EndNote Bibliography"/>
    <w:basedOn w:val="Normal"/>
    <w:link w:val="EndNoteBibliographyChar"/>
    <w:rsid w:val="003F5A0C"/>
    <w:pPr>
      <w:spacing w:line="240" w:lineRule="auto"/>
    </w:pPr>
    <w:rPr>
      <w:rFonts w:ascii="Calibri" w:hAnsi="Calibri" w:cs="Calibri"/>
      <w:noProof/>
    </w:rPr>
  </w:style>
  <w:style w:type="character" w:customStyle="1" w:styleId="EndNoteBibliographyChar">
    <w:name w:val="EndNote Bibliography Char"/>
    <w:basedOn w:val="DefaultParagraphFont"/>
    <w:link w:val="EndNoteBibliography"/>
    <w:rsid w:val="003F5A0C"/>
    <w:rPr>
      <w:rFonts w:ascii="Calibri" w:hAnsi="Calibri" w:cs="Calibri"/>
      <w:noProof/>
    </w:rPr>
  </w:style>
  <w:style w:type="character" w:styleId="Hyperlink">
    <w:name w:val="Hyperlink"/>
    <w:basedOn w:val="DefaultParagraphFont"/>
    <w:uiPriority w:val="99"/>
    <w:unhideWhenUsed/>
    <w:rsid w:val="003F5A0C"/>
    <w:rPr>
      <w:color w:val="0563C1" w:themeColor="hyperlink"/>
      <w:u w:val="single"/>
    </w:rPr>
  </w:style>
  <w:style w:type="character" w:styleId="UnresolvedMention">
    <w:name w:val="Unresolved Mention"/>
    <w:basedOn w:val="DefaultParagraphFont"/>
    <w:uiPriority w:val="99"/>
    <w:semiHidden/>
    <w:unhideWhenUsed/>
    <w:rsid w:val="003F5A0C"/>
    <w:rPr>
      <w:color w:val="605E5C"/>
      <w:shd w:val="clear" w:color="auto" w:fill="E1DFDD"/>
    </w:rPr>
  </w:style>
  <w:style w:type="paragraph" w:styleId="Header">
    <w:name w:val="header"/>
    <w:basedOn w:val="Normal"/>
    <w:link w:val="HeaderChar"/>
    <w:uiPriority w:val="99"/>
    <w:unhideWhenUsed/>
    <w:rsid w:val="003F5A0C"/>
    <w:pPr>
      <w:tabs>
        <w:tab w:val="center" w:pos="4680"/>
        <w:tab w:val="right" w:pos="9360"/>
      </w:tabs>
      <w:spacing w:after="0" w:line="240" w:lineRule="auto"/>
    </w:pPr>
  </w:style>
  <w:style w:type="character" w:customStyle="1" w:styleId="HeaderChar">
    <w:name w:val="Header Char"/>
    <w:basedOn w:val="DefaultParagraphFont"/>
    <w:link w:val="Header"/>
    <w:uiPriority w:val="99"/>
    <w:rsid w:val="003F5A0C"/>
  </w:style>
  <w:style w:type="paragraph" w:styleId="Footer">
    <w:name w:val="footer"/>
    <w:basedOn w:val="Normal"/>
    <w:link w:val="FooterChar"/>
    <w:uiPriority w:val="99"/>
    <w:unhideWhenUsed/>
    <w:rsid w:val="003F5A0C"/>
    <w:pPr>
      <w:tabs>
        <w:tab w:val="center" w:pos="4680"/>
        <w:tab w:val="right" w:pos="9360"/>
      </w:tabs>
      <w:spacing w:after="0" w:line="240" w:lineRule="auto"/>
    </w:pPr>
  </w:style>
  <w:style w:type="character" w:customStyle="1" w:styleId="FooterChar">
    <w:name w:val="Footer Char"/>
    <w:basedOn w:val="DefaultParagraphFont"/>
    <w:link w:val="Footer"/>
    <w:uiPriority w:val="99"/>
    <w:rsid w:val="003F5A0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tiff"/><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2.tiff"/><Relationship Id="rId12" Type="http://schemas.openxmlformats.org/officeDocument/2006/relationships/image" Target="media/image7.tiff"/><Relationship Id="rId17" Type="http://schemas.openxmlformats.org/officeDocument/2006/relationships/header" Target="header3.xml"/><Relationship Id="rId2" Type="http://schemas.openxmlformats.org/officeDocument/2006/relationships/settings" Target="settings.xml"/><Relationship Id="rId16" Type="http://schemas.openxmlformats.org/officeDocument/2006/relationships/footer" Target="footer2.xml"/><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tiff"/><Relationship Id="rId11" Type="http://schemas.openxmlformats.org/officeDocument/2006/relationships/image" Target="media/image6.tiff"/><Relationship Id="rId5" Type="http://schemas.openxmlformats.org/officeDocument/2006/relationships/endnotes" Target="endnotes.xml"/><Relationship Id="rId15" Type="http://schemas.openxmlformats.org/officeDocument/2006/relationships/footer" Target="footer1.xml"/><Relationship Id="rId10" Type="http://schemas.openxmlformats.org/officeDocument/2006/relationships/image" Target="media/image5.jpeg"/><Relationship Id="rId19" Type="http://schemas.openxmlformats.org/officeDocument/2006/relationships/hyperlink" Target="https://www.tspot.com/wp-content/uploads/2020/09/TB-PI-US-0001-V8.pdf" TargetMode="External"/><Relationship Id="rId4" Type="http://schemas.openxmlformats.org/officeDocument/2006/relationships/footnotes" Target="footnotes.xml"/><Relationship Id="rId9" Type="http://schemas.openxmlformats.org/officeDocument/2006/relationships/image" Target="media/image4.tiff"/><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193</TotalTime>
  <Pages>10</Pages>
  <Words>1105</Words>
  <Characters>6299</Characters>
  <Application>Microsoft Office Word</Application>
  <DocSecurity>0</DocSecurity>
  <Lines>52</Lines>
  <Paragraphs>14</Paragraphs>
  <ScaleCrop>false</ScaleCrop>
  <Company/>
  <LinksUpToDate>false</LinksUpToDate>
  <CharactersWithSpaces>7390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Winglee, Kathryn (CDC/DDID/NCHHSTP/DTE)</dc:creator>
  <cp:keywords/>
  <dc:description/>
  <cp:lastModifiedBy>Winglee, Kathryn (CDC/DDID/NCHHSTP/DTE)</cp:lastModifiedBy>
  <cp:revision>7</cp:revision>
  <dcterms:created xsi:type="dcterms:W3CDTF">2022-03-21T17:34:00Z</dcterms:created>
  <dcterms:modified xsi:type="dcterms:W3CDTF">2022-03-21T22:11:00Z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b94a7b8-f06c-4dfe-bdcc-9b548fd58c31_Enabled">
    <vt:lpwstr>true</vt:lpwstr>
  </property>
  <property fmtid="{D5CDD505-2E9C-101B-9397-08002B2CF9AE}" pid="3" name="MSIP_Label_7b94a7b8-f06c-4dfe-bdcc-9b548fd58c31_SetDate">
    <vt:lpwstr>2021-11-19T16:13:19Z</vt:lpwstr>
  </property>
  <property fmtid="{D5CDD505-2E9C-101B-9397-08002B2CF9AE}" pid="4" name="MSIP_Label_7b94a7b8-f06c-4dfe-bdcc-9b548fd58c31_Method">
    <vt:lpwstr>Privileged</vt:lpwstr>
  </property>
  <property fmtid="{D5CDD505-2E9C-101B-9397-08002B2CF9AE}" pid="5" name="MSIP_Label_7b94a7b8-f06c-4dfe-bdcc-9b548fd58c31_Name">
    <vt:lpwstr>7b94a7b8-f06c-4dfe-bdcc-9b548fd58c31</vt:lpwstr>
  </property>
  <property fmtid="{D5CDD505-2E9C-101B-9397-08002B2CF9AE}" pid="6" name="MSIP_Label_7b94a7b8-f06c-4dfe-bdcc-9b548fd58c31_SiteId">
    <vt:lpwstr>9ce70869-60db-44fd-abe8-d2767077fc8f</vt:lpwstr>
  </property>
  <property fmtid="{D5CDD505-2E9C-101B-9397-08002B2CF9AE}" pid="7" name="MSIP_Label_7b94a7b8-f06c-4dfe-bdcc-9b548fd58c31_ActionId">
    <vt:lpwstr>edc1079c-9244-4a4c-a3e4-fc91f45d6bf8</vt:lpwstr>
  </property>
  <property fmtid="{D5CDD505-2E9C-101B-9397-08002B2CF9AE}" pid="8" name="MSIP_Label_7b94a7b8-f06c-4dfe-bdcc-9b548fd58c31_ContentBits">
    <vt:lpwstr>0</vt:lpwstr>
  </property>
</Properties>
</file>