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E32" w:rsidRDefault="004A1E32" w:rsidP="004A1E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Supplemental Table 4. Adjusted Prevalence of Number of CVD Risk Factors by PIR Levels among Adolescents Aged 12-19 Years, NHANES 1999-2014</w:t>
      </w:r>
    </w:p>
    <w:tbl>
      <w:tblPr>
        <w:tblStyle w:val="TableGrid"/>
        <w:tblW w:w="971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40"/>
        <w:gridCol w:w="1985"/>
        <w:gridCol w:w="1800"/>
        <w:gridCol w:w="1800"/>
        <w:gridCol w:w="1890"/>
      </w:tblGrid>
      <w:tr w:rsidR="004A1E32" w:rsidTr="008E651F">
        <w:trPr>
          <w:trHeight w:val="708"/>
        </w:trPr>
        <w:tc>
          <w:tcPr>
            <w:tcW w:w="2240" w:type="dxa"/>
            <w:tcBorders>
              <w:top w:val="single" w:sz="8" w:space="0" w:color="auto"/>
              <w:left w:val="single" w:sz="8" w:space="0" w:color="808080" w:themeColor="background1" w:themeShade="80"/>
              <w:bottom w:val="single" w:sz="8" w:space="0" w:color="auto"/>
              <w:right w:val="single" w:sz="8" w:space="0" w:color="808080" w:themeColor="background1" w:themeShade="80"/>
            </w:tcBorders>
            <w:vAlign w:val="center"/>
            <w:hideMark/>
          </w:tcPr>
          <w:p w:rsidR="004A1E32" w:rsidRDefault="004A1E32" w:rsidP="008E6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Poverty-Income Ratio, 1999-2014</w:t>
            </w:r>
          </w:p>
        </w:tc>
        <w:tc>
          <w:tcPr>
            <w:tcW w:w="7475" w:type="dxa"/>
            <w:gridSpan w:val="4"/>
            <w:tcBorders>
              <w:top w:val="single" w:sz="8" w:space="0" w:color="auto"/>
              <w:left w:val="single" w:sz="8" w:space="0" w:color="808080" w:themeColor="background1" w:themeShade="80"/>
              <w:bottom w:val="single" w:sz="8" w:space="0" w:color="auto"/>
              <w:right w:val="single" w:sz="8" w:space="0" w:color="808080" w:themeColor="background1" w:themeShade="80"/>
            </w:tcBorders>
            <w:vAlign w:val="center"/>
            <w:hideMark/>
          </w:tcPr>
          <w:p w:rsidR="004A1E32" w:rsidRDefault="004A1E32" w:rsidP="008E6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Number of CVD risk factors</w:t>
            </w:r>
          </w:p>
        </w:tc>
      </w:tr>
      <w:tr w:rsidR="004A1E32" w:rsidTr="008E651F">
        <w:trPr>
          <w:trHeight w:val="708"/>
        </w:trPr>
        <w:tc>
          <w:tcPr>
            <w:tcW w:w="2240" w:type="dxa"/>
            <w:tcBorders>
              <w:top w:val="single" w:sz="8" w:space="0" w:color="auto"/>
              <w:left w:val="single" w:sz="8" w:space="0" w:color="808080" w:themeColor="background1" w:themeShade="80"/>
              <w:bottom w:val="single" w:sz="8" w:space="0" w:color="auto"/>
              <w:right w:val="single" w:sz="8" w:space="0" w:color="808080" w:themeColor="background1" w:themeShade="80"/>
            </w:tcBorders>
            <w:vAlign w:val="center"/>
          </w:tcPr>
          <w:p w:rsidR="004A1E32" w:rsidRDefault="004A1E32" w:rsidP="008E6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808080" w:themeColor="background1" w:themeShade="80"/>
              <w:bottom w:val="single" w:sz="8" w:space="0" w:color="auto"/>
              <w:right w:val="single" w:sz="8" w:space="0" w:color="808080" w:themeColor="background1" w:themeShade="80"/>
            </w:tcBorders>
            <w:vAlign w:val="center"/>
            <w:hideMark/>
          </w:tcPr>
          <w:p w:rsidR="004A1E32" w:rsidRDefault="004A1E32" w:rsidP="008E6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808080" w:themeColor="background1" w:themeShade="80"/>
              <w:bottom w:val="single" w:sz="8" w:space="0" w:color="auto"/>
              <w:right w:val="single" w:sz="8" w:space="0" w:color="808080" w:themeColor="background1" w:themeShade="80"/>
            </w:tcBorders>
            <w:vAlign w:val="center"/>
            <w:hideMark/>
          </w:tcPr>
          <w:p w:rsidR="004A1E32" w:rsidRDefault="004A1E32" w:rsidP="008E6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808080" w:themeColor="background1" w:themeShade="80"/>
              <w:bottom w:val="single" w:sz="8" w:space="0" w:color="auto"/>
              <w:right w:val="single" w:sz="8" w:space="0" w:color="808080" w:themeColor="background1" w:themeShade="80"/>
            </w:tcBorders>
            <w:vAlign w:val="center"/>
            <w:hideMark/>
          </w:tcPr>
          <w:p w:rsidR="004A1E32" w:rsidRDefault="004A1E32" w:rsidP="008E6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808080" w:themeColor="background1" w:themeShade="80"/>
              <w:bottom w:val="single" w:sz="8" w:space="0" w:color="auto"/>
              <w:right w:val="single" w:sz="8" w:space="0" w:color="808080" w:themeColor="background1" w:themeShade="80"/>
            </w:tcBorders>
            <w:vAlign w:val="center"/>
            <w:hideMark/>
          </w:tcPr>
          <w:p w:rsidR="004A1E32" w:rsidRDefault="004A1E32" w:rsidP="008E6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≥3</w:t>
            </w:r>
          </w:p>
        </w:tc>
      </w:tr>
      <w:tr w:rsidR="004A1E32" w:rsidTr="008E651F">
        <w:trPr>
          <w:trHeight w:val="680"/>
        </w:trPr>
        <w:tc>
          <w:tcPr>
            <w:tcW w:w="2240" w:type="dxa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4A1E32" w:rsidRDefault="004A1E32" w:rsidP="008E65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PIR &lt;1.3</w:t>
            </w:r>
          </w:p>
          <w:p w:rsidR="004A1E32" w:rsidRDefault="004A1E32" w:rsidP="008E6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(Low income)</w:t>
            </w:r>
          </w:p>
        </w:tc>
        <w:tc>
          <w:tcPr>
            <w:tcW w:w="1985" w:type="dxa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A1E32" w:rsidRDefault="004A1E32" w:rsidP="008E65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 (8.86-13.6)</w:t>
            </w:r>
          </w:p>
        </w:tc>
        <w:tc>
          <w:tcPr>
            <w:tcW w:w="1800" w:type="dxa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A1E32" w:rsidRDefault="004A1E32" w:rsidP="008E65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37.9 (34.4-41.4)</w:t>
            </w:r>
          </w:p>
        </w:tc>
        <w:tc>
          <w:tcPr>
            <w:tcW w:w="1800" w:type="dxa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A1E32" w:rsidRDefault="004A1E32" w:rsidP="008E65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33.7 (30.9-36.6)</w:t>
            </w:r>
          </w:p>
        </w:tc>
        <w:tc>
          <w:tcPr>
            <w:tcW w:w="1890" w:type="dxa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A1E32" w:rsidRDefault="004A1E32" w:rsidP="008E65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 (15.0-20.2)</w:t>
            </w:r>
          </w:p>
        </w:tc>
      </w:tr>
      <w:tr w:rsidR="004A1E32" w:rsidTr="008E651F">
        <w:trPr>
          <w:trHeight w:val="708"/>
        </w:trPr>
        <w:tc>
          <w:tcPr>
            <w:tcW w:w="22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4A1E32" w:rsidRDefault="004A1E32" w:rsidP="008E65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1.3≤ PIR &lt;3.5</w:t>
            </w:r>
          </w:p>
          <w:p w:rsidR="004A1E32" w:rsidRDefault="004A1E32" w:rsidP="008E6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(Middle income)</w:t>
            </w:r>
          </w:p>
        </w:tc>
        <w:tc>
          <w:tcPr>
            <w:tcW w:w="1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A1E32" w:rsidRDefault="004A1E32" w:rsidP="008E6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 (10.7-16.0)</w:t>
            </w:r>
          </w:p>
        </w:tc>
        <w:tc>
          <w:tcPr>
            <w:tcW w:w="1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A1E32" w:rsidRDefault="004A1E32" w:rsidP="008E6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44.3 (41.0-47.8)</w:t>
            </w:r>
          </w:p>
        </w:tc>
        <w:tc>
          <w:tcPr>
            <w:tcW w:w="1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A1E32" w:rsidRDefault="004A1E32" w:rsidP="008E65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26.7 (24.0-29.6)</w:t>
            </w:r>
          </w:p>
        </w:tc>
        <w:tc>
          <w:tcPr>
            <w:tcW w:w="18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A1E32" w:rsidRDefault="004A1E32" w:rsidP="008E65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15.9 (13.6-18.6)</w:t>
            </w:r>
          </w:p>
        </w:tc>
      </w:tr>
      <w:tr w:rsidR="004A1E32" w:rsidTr="008E651F">
        <w:trPr>
          <w:trHeight w:val="680"/>
        </w:trPr>
        <w:tc>
          <w:tcPr>
            <w:tcW w:w="22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4A1E32" w:rsidRDefault="004A1E32" w:rsidP="008E65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PIR ≥3.5</w:t>
            </w:r>
          </w:p>
          <w:p w:rsidR="004A1E32" w:rsidRDefault="004A1E32" w:rsidP="008E6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(High income)</w:t>
            </w:r>
          </w:p>
        </w:tc>
        <w:tc>
          <w:tcPr>
            <w:tcW w:w="1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A1E32" w:rsidRDefault="004A1E32" w:rsidP="008E6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 (12.8-18.7)</w:t>
            </w:r>
          </w:p>
        </w:tc>
        <w:tc>
          <w:tcPr>
            <w:tcW w:w="1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A1E32" w:rsidRDefault="004A1E32" w:rsidP="008E6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44.7 (40.7-48.7)</w:t>
            </w:r>
          </w:p>
        </w:tc>
        <w:tc>
          <w:tcPr>
            <w:tcW w:w="1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A1E32" w:rsidRDefault="004A1E32" w:rsidP="008E65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 (26.4-34.1)</w:t>
            </w:r>
          </w:p>
        </w:tc>
        <w:tc>
          <w:tcPr>
            <w:tcW w:w="18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A1E32" w:rsidRDefault="004A1E32" w:rsidP="008E6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9.71 (7.54-12.4)</w:t>
            </w:r>
          </w:p>
        </w:tc>
      </w:tr>
    </w:tbl>
    <w:p w:rsidR="004A1E32" w:rsidRDefault="004A1E32" w:rsidP="004A1E32">
      <w:pPr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Abbreviations: PIR, poverty income ratio; </w:t>
      </w:r>
      <w:r>
        <w:rPr>
          <w:rFonts w:ascii="Times New Roman" w:hAnsi="Times New Roman" w:cs="Times New Roman"/>
          <w:sz w:val="24"/>
          <w:szCs w:val="24"/>
        </w:rPr>
        <w:t>NHANES,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National Health and Nutrition Examination Survey. </w:t>
      </w:r>
      <w:r>
        <w:rPr>
          <w:rFonts w:ascii="Times New Roman" w:hAnsi="Times New Roman" w:cs="Times New Roman"/>
          <w:bCs/>
          <w:sz w:val="24"/>
          <w:szCs w:val="24"/>
        </w:rPr>
        <w:t>Fasting samples were used to estimate the prevalence of number of CVD risk factors. Number of risk factor is calculated out of 6 total (obesity, smoking, low quality diet, hypertension, prediabetes</w:t>
      </w:r>
      <w:r w:rsidR="00A813AD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>
        <w:rPr>
          <w:rFonts w:ascii="Times New Roman" w:hAnsi="Times New Roman" w:cs="Times New Roman"/>
          <w:bCs/>
          <w:sz w:val="24"/>
          <w:szCs w:val="24"/>
        </w:rPr>
        <w:t xml:space="preserve">diabetes, dyslipidemia). Physical inactivity was not included, as consistent data were not available across all 4 time intervals examined. </w:t>
      </w:r>
      <w:r>
        <w:rPr>
          <w:rFonts w:ascii="Times New Roman" w:hAnsi="Times New Roman" w:cs="Times New Roman"/>
          <w:sz w:val="24"/>
          <w:szCs w:val="24"/>
        </w:rPr>
        <w:t>Adolescents having a BMI percentile ≥95th percentile were classified as having obesity. Smoking status was classified as “current smoker” based on self-reported smoking data or sex- and race-specific serum cotinine level. HEI-2010 scores ≤50 were classified as low quality diets. Elevated blood pressure was classified according to 2017 AAP guidelines. Adolescents with a self-reported diagnosis of diabetes, HbA1c ≥6.5%, or fasting plasma glucose (FPG) ≥126mg/</w:t>
      </w:r>
      <w:proofErr w:type="spellStart"/>
      <w:r>
        <w:rPr>
          <w:rFonts w:ascii="Times New Roman" w:hAnsi="Times New Roman" w:cs="Times New Roman"/>
          <w:sz w:val="24"/>
          <w:szCs w:val="24"/>
        </w:rPr>
        <w:t>dL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were classified as having diabetes. Those without a self-reported diagnosis of diabetes, and having an HbA1c level of 5.7% to 6.4% or an FPG level of 100mg/</w:t>
      </w:r>
      <w:proofErr w:type="spellStart"/>
      <w:r>
        <w:rPr>
          <w:rFonts w:ascii="Times New Roman" w:hAnsi="Times New Roman" w:cs="Times New Roman"/>
          <w:sz w:val="24"/>
          <w:szCs w:val="24"/>
        </w:rPr>
        <w:t>dL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125mg/</w:t>
      </w:r>
      <w:proofErr w:type="spellStart"/>
      <w:r>
        <w:rPr>
          <w:rFonts w:ascii="Times New Roman" w:hAnsi="Times New Roman" w:cs="Times New Roman"/>
          <w:sz w:val="24"/>
          <w:szCs w:val="24"/>
        </w:rPr>
        <w:t>dL</w:t>
      </w:r>
      <w:proofErr w:type="spellEnd"/>
      <w:r>
        <w:rPr>
          <w:rFonts w:ascii="Times New Roman" w:hAnsi="Times New Roman" w:cs="Times New Roman"/>
          <w:sz w:val="24"/>
          <w:szCs w:val="24"/>
        </w:rPr>
        <w:t>, were classified as having prediabetes. Diabetes and prediabetes were combined into one category (prediabetes</w:t>
      </w:r>
      <w:r w:rsidR="00A813AD">
        <w:rPr>
          <w:rFonts w:ascii="Times New Roman" w:hAnsi="Times New Roman" w:cs="Times New Roman"/>
          <w:sz w:val="24"/>
          <w:szCs w:val="24"/>
        </w:rPr>
        <w:t xml:space="preserve"> and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diabetes). Adolescents were classified as having dyslipidemia if levels of LDL-C were ≥130 mg/</w:t>
      </w:r>
      <w:proofErr w:type="spellStart"/>
      <w:r>
        <w:rPr>
          <w:rFonts w:ascii="Times New Roman" w:hAnsi="Times New Roman" w:cs="Times New Roman"/>
          <w:sz w:val="24"/>
          <w:szCs w:val="24"/>
        </w:rPr>
        <w:t>dL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 TC were ≥200mg/</w:t>
      </w:r>
      <w:proofErr w:type="spellStart"/>
      <w:r>
        <w:rPr>
          <w:rFonts w:ascii="Times New Roman" w:hAnsi="Times New Roman" w:cs="Times New Roman"/>
          <w:sz w:val="24"/>
          <w:szCs w:val="24"/>
        </w:rPr>
        <w:t>dL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A1E32" w:rsidRPr="00F73616" w:rsidRDefault="004A1E32" w:rsidP="004A1E32">
      <w:pPr>
        <w:pStyle w:val="ListParagraph"/>
        <w:autoSpaceDE w:val="0"/>
        <w:autoSpaceDN w:val="0"/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</w:p>
    <w:p w:rsidR="00FC70C6" w:rsidRDefault="00FC70C6"/>
    <w:sectPr w:rsidR="00FC70C6" w:rsidSect="00150C8D">
      <w:endnotePr>
        <w:numFmt w:val="decimal"/>
      </w:endnotePr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6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E32"/>
    <w:rsid w:val="004A1E32"/>
    <w:rsid w:val="00A813AD"/>
    <w:rsid w:val="00D26908"/>
    <w:rsid w:val="00D75C92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8FC4C"/>
  <w15:chartTrackingRefBased/>
  <w15:docId w15:val="{D791F70A-FF63-48D6-986B-4A6AF61C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E32"/>
    <w:pPr>
      <w:ind w:left="720"/>
      <w:contextualSpacing/>
    </w:pPr>
  </w:style>
  <w:style w:type="table" w:styleId="TableGrid">
    <w:name w:val="Table Grid"/>
    <w:basedOn w:val="TableNormal"/>
    <w:uiPriority w:val="39"/>
    <w:rsid w:val="004A1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Sandra L. (CDC/ONDIEH/NCCDPHP)</dc:creator>
  <cp:keywords/>
  <dc:description/>
  <cp:lastModifiedBy>Jackson, Sandra L. (CDC/ONDIEH/NCCDPHP)</cp:lastModifiedBy>
  <cp:revision>4</cp:revision>
  <dcterms:created xsi:type="dcterms:W3CDTF">2018-11-07T21:41:00Z</dcterms:created>
  <dcterms:modified xsi:type="dcterms:W3CDTF">2018-11-08T21:02:00Z</dcterms:modified>
</cp:coreProperties>
</file>