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ACB35" w14:textId="7BB78FE6" w:rsidR="00FF65D0" w:rsidRDefault="00FF65D0" w:rsidP="00FF65D0">
      <w:pPr>
        <w:rPr>
          <w:b/>
          <w:bCs/>
        </w:rPr>
      </w:pPr>
      <w:r>
        <w:rPr>
          <w:b/>
          <w:bCs/>
        </w:rPr>
        <w:t xml:space="preserve">Sensitivity Analysis of Baseline and Follow-up WST-Q and Knowledge </w:t>
      </w:r>
      <w:proofErr w:type="gramStart"/>
      <w:r>
        <w:rPr>
          <w:b/>
          <w:bCs/>
        </w:rPr>
        <w:t>Scores  using</w:t>
      </w:r>
      <w:proofErr w:type="gramEnd"/>
      <w:r>
        <w:rPr>
          <w:b/>
          <w:bCs/>
        </w:rPr>
        <w:t xml:space="preserve"> Complete Data Only, Last Observation Carried Forward, and Multiple Imputation </w:t>
      </w:r>
    </w:p>
    <w:tbl>
      <w:tblPr>
        <w:tblW w:w="86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1695"/>
        <w:gridCol w:w="1868"/>
        <w:gridCol w:w="2221"/>
      </w:tblGrid>
      <w:tr w:rsidR="00FF65D0" w:rsidRPr="00F22906" w14:paraId="4B439A00" w14:textId="77777777" w:rsidTr="008B1FE2">
        <w:trPr>
          <w:trHeight w:val="431"/>
        </w:trPr>
        <w:tc>
          <w:tcPr>
            <w:tcW w:w="2895" w:type="dxa"/>
            <w:shd w:val="clear" w:color="auto" w:fill="D9D9D9" w:themeFill="background1" w:themeFillShade="D9"/>
            <w:noWrap/>
            <w:vAlign w:val="center"/>
            <w:hideMark/>
          </w:tcPr>
          <w:p w14:paraId="0882A3CC" w14:textId="77777777" w:rsidR="00FF65D0" w:rsidRPr="00CC2E6D" w:rsidRDefault="00FF65D0" w:rsidP="008B1FE2">
            <w:pPr>
              <w:jc w:val="center"/>
              <w:rPr>
                <w:b/>
                <w:color w:val="000000"/>
                <w:sz w:val="20"/>
                <w:szCs w:val="20"/>
                <w:lang w:eastAsia="en-US"/>
              </w:rPr>
            </w:pPr>
            <w:r>
              <w:rPr>
                <w:b/>
                <w:color w:val="000000"/>
                <w:sz w:val="20"/>
                <w:szCs w:val="20"/>
                <w:lang w:eastAsia="en-US"/>
              </w:rPr>
              <w:t>Data Analyzed</w:t>
            </w:r>
          </w:p>
        </w:tc>
        <w:tc>
          <w:tcPr>
            <w:tcW w:w="1695" w:type="dxa"/>
            <w:shd w:val="clear" w:color="auto" w:fill="D9D9D9" w:themeFill="background1" w:themeFillShade="D9"/>
            <w:noWrap/>
            <w:vAlign w:val="center"/>
            <w:hideMark/>
          </w:tcPr>
          <w:p w14:paraId="16D28009" w14:textId="77777777" w:rsidR="00FF65D0" w:rsidRDefault="00FF65D0" w:rsidP="008B1FE2">
            <w:pPr>
              <w:jc w:val="center"/>
              <w:rPr>
                <w:b/>
                <w:bCs/>
                <w:color w:val="000000"/>
                <w:sz w:val="20"/>
                <w:szCs w:val="20"/>
                <w:lang w:eastAsia="en-US"/>
              </w:rPr>
            </w:pPr>
            <w:r w:rsidRPr="00F22906">
              <w:rPr>
                <w:b/>
                <w:bCs/>
                <w:color w:val="000000"/>
                <w:sz w:val="20"/>
                <w:szCs w:val="20"/>
                <w:lang w:eastAsia="en-US"/>
              </w:rPr>
              <w:t>Baseline</w:t>
            </w:r>
            <w:r>
              <w:rPr>
                <w:b/>
                <w:bCs/>
                <w:color w:val="000000"/>
                <w:sz w:val="20"/>
                <w:szCs w:val="20"/>
                <w:lang w:eastAsia="en-US"/>
              </w:rPr>
              <w:t xml:space="preserve"> </w:t>
            </w:r>
          </w:p>
          <w:p w14:paraId="24869238" w14:textId="77777777" w:rsidR="00FF65D0" w:rsidRPr="00F22906" w:rsidRDefault="00FF65D0" w:rsidP="008B1FE2">
            <w:pPr>
              <w:jc w:val="center"/>
              <w:rPr>
                <w:b/>
                <w:bCs/>
                <w:color w:val="000000"/>
                <w:sz w:val="20"/>
                <w:szCs w:val="20"/>
                <w:lang w:eastAsia="en-US"/>
              </w:rPr>
            </w:pPr>
            <w:r>
              <w:rPr>
                <w:b/>
                <w:bCs/>
                <w:color w:val="000000"/>
                <w:sz w:val="20"/>
                <w:szCs w:val="20"/>
                <w:lang w:eastAsia="en-US"/>
              </w:rPr>
              <w:t>Mean (SD)</w:t>
            </w:r>
          </w:p>
        </w:tc>
        <w:tc>
          <w:tcPr>
            <w:tcW w:w="1868" w:type="dxa"/>
            <w:shd w:val="clear" w:color="auto" w:fill="D9D9D9" w:themeFill="background1" w:themeFillShade="D9"/>
            <w:noWrap/>
            <w:vAlign w:val="center"/>
            <w:hideMark/>
          </w:tcPr>
          <w:p w14:paraId="59A4239E" w14:textId="77777777" w:rsidR="00FF65D0" w:rsidRDefault="00FF65D0" w:rsidP="008B1FE2">
            <w:pPr>
              <w:jc w:val="center"/>
              <w:rPr>
                <w:b/>
                <w:bCs/>
                <w:color w:val="000000"/>
                <w:sz w:val="20"/>
                <w:szCs w:val="20"/>
                <w:lang w:eastAsia="en-US"/>
              </w:rPr>
            </w:pPr>
            <w:r w:rsidRPr="00F22906">
              <w:rPr>
                <w:b/>
                <w:bCs/>
                <w:color w:val="000000"/>
                <w:sz w:val="20"/>
                <w:szCs w:val="20"/>
                <w:lang w:eastAsia="en-US"/>
              </w:rPr>
              <w:t>Follow-up</w:t>
            </w:r>
            <w:r>
              <w:rPr>
                <w:b/>
                <w:bCs/>
                <w:color w:val="000000"/>
                <w:sz w:val="20"/>
                <w:szCs w:val="20"/>
                <w:lang w:eastAsia="en-US"/>
              </w:rPr>
              <w:t xml:space="preserve"> </w:t>
            </w:r>
          </w:p>
          <w:p w14:paraId="08F743DC" w14:textId="77777777" w:rsidR="00FF65D0" w:rsidRPr="00F22906" w:rsidRDefault="00FF65D0" w:rsidP="008B1FE2">
            <w:pPr>
              <w:jc w:val="center"/>
              <w:rPr>
                <w:b/>
                <w:bCs/>
                <w:color w:val="000000"/>
                <w:sz w:val="20"/>
                <w:szCs w:val="20"/>
                <w:lang w:eastAsia="en-US"/>
              </w:rPr>
            </w:pPr>
            <w:r>
              <w:rPr>
                <w:b/>
                <w:bCs/>
                <w:color w:val="000000"/>
                <w:sz w:val="20"/>
                <w:szCs w:val="20"/>
                <w:lang w:eastAsia="en-US"/>
              </w:rPr>
              <w:t>Mean (SD)</w:t>
            </w:r>
          </w:p>
        </w:tc>
        <w:tc>
          <w:tcPr>
            <w:tcW w:w="2221" w:type="dxa"/>
            <w:shd w:val="clear" w:color="auto" w:fill="D9D9D9" w:themeFill="background1" w:themeFillShade="D9"/>
            <w:noWrap/>
            <w:vAlign w:val="center"/>
            <w:hideMark/>
          </w:tcPr>
          <w:p w14:paraId="10F31223" w14:textId="77777777" w:rsidR="00FF65D0" w:rsidRDefault="00FF65D0" w:rsidP="008B1FE2">
            <w:pPr>
              <w:jc w:val="center"/>
              <w:rPr>
                <w:b/>
                <w:bCs/>
                <w:color w:val="000000"/>
                <w:sz w:val="20"/>
                <w:szCs w:val="20"/>
                <w:lang w:eastAsia="en-US"/>
              </w:rPr>
            </w:pPr>
            <w:r w:rsidRPr="00F22906">
              <w:rPr>
                <w:b/>
                <w:bCs/>
                <w:color w:val="000000"/>
                <w:sz w:val="20"/>
                <w:szCs w:val="20"/>
                <w:lang w:eastAsia="en-US"/>
              </w:rPr>
              <w:t>Paired Comparison</w:t>
            </w:r>
            <w:r>
              <w:rPr>
                <w:b/>
                <w:bCs/>
                <w:color w:val="000000"/>
                <w:sz w:val="20"/>
                <w:szCs w:val="20"/>
                <w:lang w:eastAsia="en-US"/>
              </w:rPr>
              <w:t xml:space="preserve"> </w:t>
            </w:r>
          </w:p>
          <w:p w14:paraId="580B7991" w14:textId="77777777" w:rsidR="00FF65D0" w:rsidRPr="00F22906" w:rsidRDefault="00FF65D0" w:rsidP="008B1FE2">
            <w:pPr>
              <w:jc w:val="center"/>
              <w:rPr>
                <w:b/>
                <w:bCs/>
                <w:color w:val="000000"/>
                <w:sz w:val="20"/>
                <w:szCs w:val="20"/>
                <w:lang w:eastAsia="en-US"/>
              </w:rPr>
            </w:pPr>
            <w:r>
              <w:rPr>
                <w:b/>
                <w:bCs/>
                <w:color w:val="000000"/>
                <w:sz w:val="20"/>
                <w:szCs w:val="20"/>
                <w:lang w:eastAsia="en-US"/>
              </w:rPr>
              <w:t>p-value</w:t>
            </w:r>
          </w:p>
        </w:tc>
      </w:tr>
      <w:tr w:rsidR="00FF65D0" w:rsidRPr="00F22906" w14:paraId="3C60F976" w14:textId="77777777" w:rsidTr="008B1FE2">
        <w:trPr>
          <w:trHeight w:val="320"/>
        </w:trPr>
        <w:tc>
          <w:tcPr>
            <w:tcW w:w="8679" w:type="dxa"/>
            <w:gridSpan w:val="4"/>
            <w:shd w:val="clear" w:color="auto" w:fill="auto"/>
            <w:noWrap/>
            <w:vAlign w:val="bottom"/>
            <w:hideMark/>
          </w:tcPr>
          <w:p w14:paraId="7B77C22C" w14:textId="77777777" w:rsidR="00FF65D0" w:rsidRPr="00CC2E6D" w:rsidRDefault="00FF65D0" w:rsidP="008B1FE2">
            <w:pPr>
              <w:rPr>
                <w:b/>
                <w:color w:val="000000"/>
                <w:sz w:val="20"/>
                <w:szCs w:val="20"/>
                <w:lang w:eastAsia="en-US"/>
              </w:rPr>
            </w:pPr>
            <w:r w:rsidRPr="00CC2E6D">
              <w:rPr>
                <w:b/>
                <w:color w:val="000000"/>
                <w:sz w:val="20"/>
                <w:szCs w:val="20"/>
                <w:lang w:eastAsia="en-US"/>
              </w:rPr>
              <w:t>Complete data (n=41) </w:t>
            </w:r>
          </w:p>
        </w:tc>
      </w:tr>
      <w:tr w:rsidR="00FF65D0" w:rsidRPr="00F22906" w14:paraId="4C03A3AF" w14:textId="77777777" w:rsidTr="008B1FE2">
        <w:trPr>
          <w:trHeight w:val="320"/>
        </w:trPr>
        <w:tc>
          <w:tcPr>
            <w:tcW w:w="2895" w:type="dxa"/>
            <w:shd w:val="clear" w:color="auto" w:fill="auto"/>
            <w:noWrap/>
            <w:vAlign w:val="center"/>
            <w:hideMark/>
          </w:tcPr>
          <w:p w14:paraId="6F4EF7DC" w14:textId="77777777" w:rsidR="00FF65D0" w:rsidRPr="00CC2E6D" w:rsidRDefault="00FF65D0" w:rsidP="008B1FE2">
            <w:pPr>
              <w:rPr>
                <w:color w:val="000000"/>
                <w:sz w:val="20"/>
                <w:szCs w:val="20"/>
                <w:lang w:eastAsia="en-US"/>
              </w:rPr>
            </w:pPr>
            <w:r w:rsidRPr="00CC2E6D">
              <w:rPr>
                <w:color w:val="000000"/>
                <w:sz w:val="20"/>
                <w:szCs w:val="20"/>
                <w:lang w:eastAsia="en-US"/>
              </w:rPr>
              <w:t xml:space="preserve">   WST-Q Capacity </w:t>
            </w:r>
          </w:p>
        </w:tc>
        <w:tc>
          <w:tcPr>
            <w:tcW w:w="1695" w:type="dxa"/>
            <w:shd w:val="clear" w:color="auto" w:fill="auto"/>
            <w:noWrap/>
            <w:vAlign w:val="bottom"/>
            <w:hideMark/>
          </w:tcPr>
          <w:p w14:paraId="4387A483" w14:textId="77777777" w:rsidR="00FF65D0" w:rsidRPr="00F22906" w:rsidRDefault="00FF65D0" w:rsidP="008B1FE2">
            <w:pPr>
              <w:jc w:val="center"/>
              <w:rPr>
                <w:color w:val="000000"/>
                <w:sz w:val="20"/>
                <w:szCs w:val="20"/>
                <w:lang w:eastAsia="en-US"/>
              </w:rPr>
            </w:pPr>
            <w:r w:rsidRPr="00F22906">
              <w:rPr>
                <w:color w:val="000000"/>
                <w:sz w:val="20"/>
                <w:szCs w:val="20"/>
                <w:lang w:eastAsia="en-US"/>
              </w:rPr>
              <w:t>16.</w:t>
            </w:r>
            <w:r>
              <w:rPr>
                <w:color w:val="000000"/>
                <w:sz w:val="20"/>
                <w:szCs w:val="20"/>
                <w:lang w:eastAsia="en-US"/>
              </w:rPr>
              <w:t>9</w:t>
            </w:r>
            <w:r w:rsidRPr="00F22906">
              <w:rPr>
                <w:color w:val="000000"/>
                <w:sz w:val="20"/>
                <w:szCs w:val="20"/>
                <w:lang w:eastAsia="en-US"/>
              </w:rPr>
              <w:t xml:space="preserve"> (15.</w:t>
            </w:r>
            <w:r>
              <w:rPr>
                <w:color w:val="000000"/>
                <w:sz w:val="20"/>
                <w:szCs w:val="20"/>
                <w:lang w:eastAsia="en-US"/>
              </w:rPr>
              <w:t>5</w:t>
            </w:r>
            <w:r w:rsidRPr="00F22906">
              <w:rPr>
                <w:color w:val="000000"/>
                <w:sz w:val="20"/>
                <w:szCs w:val="20"/>
                <w:lang w:eastAsia="en-US"/>
              </w:rPr>
              <w:t>)</w:t>
            </w:r>
          </w:p>
        </w:tc>
        <w:tc>
          <w:tcPr>
            <w:tcW w:w="1868" w:type="dxa"/>
            <w:shd w:val="clear" w:color="auto" w:fill="auto"/>
            <w:noWrap/>
            <w:vAlign w:val="bottom"/>
            <w:hideMark/>
          </w:tcPr>
          <w:p w14:paraId="45BF1D84" w14:textId="77777777" w:rsidR="00FF65D0" w:rsidRPr="00F22906" w:rsidRDefault="00FF65D0" w:rsidP="008B1FE2">
            <w:pPr>
              <w:jc w:val="center"/>
              <w:rPr>
                <w:color w:val="000000"/>
                <w:sz w:val="20"/>
                <w:szCs w:val="20"/>
                <w:lang w:eastAsia="en-US"/>
              </w:rPr>
            </w:pPr>
            <w:r w:rsidRPr="00F22906">
              <w:rPr>
                <w:color w:val="000000"/>
                <w:sz w:val="20"/>
                <w:szCs w:val="20"/>
                <w:lang w:eastAsia="en-US"/>
              </w:rPr>
              <w:t>7</w:t>
            </w:r>
            <w:r>
              <w:rPr>
                <w:color w:val="000000"/>
                <w:sz w:val="20"/>
                <w:szCs w:val="20"/>
                <w:lang w:eastAsia="en-US"/>
              </w:rPr>
              <w:t>2.7</w:t>
            </w:r>
            <w:r w:rsidRPr="00F22906">
              <w:rPr>
                <w:color w:val="000000"/>
                <w:sz w:val="20"/>
                <w:szCs w:val="20"/>
                <w:lang w:eastAsia="en-US"/>
              </w:rPr>
              <w:t xml:space="preserve"> (</w:t>
            </w:r>
            <w:r>
              <w:rPr>
                <w:color w:val="000000"/>
                <w:sz w:val="20"/>
                <w:szCs w:val="20"/>
                <w:lang w:eastAsia="en-US"/>
              </w:rPr>
              <w:t>22.0</w:t>
            </w:r>
            <w:r w:rsidRPr="00F22906">
              <w:rPr>
                <w:color w:val="000000"/>
                <w:sz w:val="20"/>
                <w:szCs w:val="20"/>
                <w:lang w:eastAsia="en-US"/>
              </w:rPr>
              <w:t>)</w:t>
            </w:r>
          </w:p>
        </w:tc>
        <w:tc>
          <w:tcPr>
            <w:tcW w:w="2221" w:type="dxa"/>
            <w:shd w:val="clear" w:color="auto" w:fill="auto"/>
            <w:noWrap/>
            <w:vAlign w:val="bottom"/>
            <w:hideMark/>
          </w:tcPr>
          <w:p w14:paraId="4FDC2852" w14:textId="77777777" w:rsidR="00FF65D0" w:rsidRPr="00F22906" w:rsidRDefault="00FF65D0" w:rsidP="008B1FE2">
            <w:pPr>
              <w:jc w:val="center"/>
              <w:rPr>
                <w:color w:val="000000"/>
                <w:sz w:val="20"/>
                <w:szCs w:val="20"/>
                <w:lang w:eastAsia="en-US"/>
              </w:rPr>
            </w:pPr>
            <w:r w:rsidRPr="00F22906">
              <w:rPr>
                <w:color w:val="000000"/>
                <w:sz w:val="20"/>
                <w:szCs w:val="20"/>
                <w:lang w:eastAsia="en-US"/>
              </w:rPr>
              <w:t>&lt;0.001</w:t>
            </w:r>
          </w:p>
        </w:tc>
      </w:tr>
      <w:tr w:rsidR="00FF65D0" w:rsidRPr="00F22906" w14:paraId="7CE260F8" w14:textId="77777777" w:rsidTr="008B1FE2">
        <w:trPr>
          <w:trHeight w:val="320"/>
        </w:trPr>
        <w:tc>
          <w:tcPr>
            <w:tcW w:w="2895" w:type="dxa"/>
            <w:shd w:val="clear" w:color="auto" w:fill="auto"/>
            <w:noWrap/>
            <w:vAlign w:val="center"/>
            <w:hideMark/>
          </w:tcPr>
          <w:p w14:paraId="42AB5EDE" w14:textId="77777777" w:rsidR="00FF65D0" w:rsidRPr="00CC2E6D" w:rsidRDefault="00FF65D0" w:rsidP="008B1FE2">
            <w:pPr>
              <w:rPr>
                <w:color w:val="000000"/>
                <w:sz w:val="20"/>
                <w:szCs w:val="20"/>
                <w:lang w:eastAsia="en-US"/>
              </w:rPr>
            </w:pPr>
            <w:r w:rsidRPr="00CC2E6D">
              <w:rPr>
                <w:color w:val="000000"/>
                <w:sz w:val="20"/>
                <w:szCs w:val="20"/>
                <w:lang w:eastAsia="en-US"/>
              </w:rPr>
              <w:t xml:space="preserve">   WST-Q Confidence</w:t>
            </w:r>
          </w:p>
        </w:tc>
        <w:tc>
          <w:tcPr>
            <w:tcW w:w="1695" w:type="dxa"/>
            <w:shd w:val="clear" w:color="auto" w:fill="auto"/>
            <w:noWrap/>
            <w:vAlign w:val="bottom"/>
            <w:hideMark/>
          </w:tcPr>
          <w:p w14:paraId="436352E0" w14:textId="77777777" w:rsidR="00FF65D0" w:rsidRPr="00F22906" w:rsidRDefault="00FF65D0" w:rsidP="008B1FE2">
            <w:pPr>
              <w:jc w:val="center"/>
              <w:rPr>
                <w:color w:val="000000"/>
                <w:sz w:val="20"/>
                <w:szCs w:val="20"/>
                <w:lang w:eastAsia="en-US"/>
              </w:rPr>
            </w:pPr>
            <w:r w:rsidRPr="00F22906">
              <w:rPr>
                <w:color w:val="000000"/>
                <w:sz w:val="20"/>
                <w:szCs w:val="20"/>
                <w:lang w:eastAsia="en-US"/>
              </w:rPr>
              <w:t>47.</w:t>
            </w:r>
            <w:r>
              <w:rPr>
                <w:color w:val="000000"/>
                <w:sz w:val="20"/>
                <w:szCs w:val="20"/>
                <w:lang w:eastAsia="en-US"/>
              </w:rPr>
              <w:t>7</w:t>
            </w:r>
            <w:r w:rsidRPr="00F22906">
              <w:rPr>
                <w:color w:val="000000"/>
                <w:sz w:val="20"/>
                <w:szCs w:val="20"/>
                <w:lang w:eastAsia="en-US"/>
              </w:rPr>
              <w:t xml:space="preserve"> (18.</w:t>
            </w:r>
            <w:r>
              <w:rPr>
                <w:color w:val="000000"/>
                <w:sz w:val="20"/>
                <w:szCs w:val="20"/>
                <w:lang w:eastAsia="en-US"/>
              </w:rPr>
              <w:t>8</w:t>
            </w:r>
            <w:r w:rsidRPr="00F22906">
              <w:rPr>
                <w:color w:val="000000"/>
                <w:sz w:val="20"/>
                <w:szCs w:val="20"/>
                <w:lang w:eastAsia="en-US"/>
              </w:rPr>
              <w:t>)</w:t>
            </w:r>
          </w:p>
        </w:tc>
        <w:tc>
          <w:tcPr>
            <w:tcW w:w="1868" w:type="dxa"/>
            <w:shd w:val="clear" w:color="auto" w:fill="auto"/>
            <w:noWrap/>
            <w:vAlign w:val="bottom"/>
            <w:hideMark/>
          </w:tcPr>
          <w:p w14:paraId="546F2840" w14:textId="77777777" w:rsidR="00FF65D0" w:rsidRPr="00F22906" w:rsidRDefault="00FF65D0" w:rsidP="008B1FE2">
            <w:pPr>
              <w:jc w:val="center"/>
              <w:rPr>
                <w:color w:val="000000"/>
                <w:sz w:val="20"/>
                <w:szCs w:val="20"/>
                <w:lang w:eastAsia="en-US"/>
              </w:rPr>
            </w:pPr>
            <w:r>
              <w:rPr>
                <w:color w:val="000000"/>
                <w:sz w:val="20"/>
                <w:szCs w:val="20"/>
                <w:lang w:eastAsia="en-US"/>
              </w:rPr>
              <w:t>78.8</w:t>
            </w:r>
            <w:r w:rsidRPr="00F22906">
              <w:rPr>
                <w:color w:val="000000"/>
                <w:sz w:val="20"/>
                <w:szCs w:val="20"/>
                <w:lang w:eastAsia="en-US"/>
              </w:rPr>
              <w:t>1 (</w:t>
            </w:r>
            <w:r>
              <w:rPr>
                <w:color w:val="000000"/>
                <w:sz w:val="20"/>
                <w:szCs w:val="20"/>
                <w:lang w:eastAsia="en-US"/>
              </w:rPr>
              <w:t>14.5</w:t>
            </w:r>
            <w:r w:rsidRPr="00F22906">
              <w:rPr>
                <w:color w:val="000000"/>
                <w:sz w:val="20"/>
                <w:szCs w:val="20"/>
                <w:lang w:eastAsia="en-US"/>
              </w:rPr>
              <w:t>)</w:t>
            </w:r>
          </w:p>
        </w:tc>
        <w:tc>
          <w:tcPr>
            <w:tcW w:w="2221" w:type="dxa"/>
            <w:shd w:val="clear" w:color="auto" w:fill="auto"/>
            <w:noWrap/>
            <w:vAlign w:val="bottom"/>
            <w:hideMark/>
          </w:tcPr>
          <w:p w14:paraId="47680707" w14:textId="77777777" w:rsidR="00FF65D0" w:rsidRPr="00F22906" w:rsidRDefault="00FF65D0" w:rsidP="008B1FE2">
            <w:pPr>
              <w:jc w:val="center"/>
              <w:rPr>
                <w:color w:val="000000"/>
                <w:sz w:val="20"/>
                <w:szCs w:val="20"/>
                <w:lang w:eastAsia="en-US"/>
              </w:rPr>
            </w:pPr>
            <w:r>
              <w:rPr>
                <w:color w:val="000000"/>
                <w:sz w:val="20"/>
                <w:szCs w:val="20"/>
                <w:lang w:eastAsia="en-US"/>
              </w:rPr>
              <w:t>&lt;0.001</w:t>
            </w:r>
          </w:p>
        </w:tc>
      </w:tr>
      <w:tr w:rsidR="00FF65D0" w:rsidRPr="00F22906" w14:paraId="4CAFF86C" w14:textId="77777777" w:rsidTr="008B1FE2">
        <w:trPr>
          <w:trHeight w:val="320"/>
        </w:trPr>
        <w:tc>
          <w:tcPr>
            <w:tcW w:w="2895" w:type="dxa"/>
            <w:shd w:val="clear" w:color="auto" w:fill="auto"/>
            <w:noWrap/>
            <w:vAlign w:val="center"/>
            <w:hideMark/>
          </w:tcPr>
          <w:p w14:paraId="13AF0A99" w14:textId="77777777" w:rsidR="00FF65D0" w:rsidRPr="00CC2E6D" w:rsidRDefault="00FF65D0" w:rsidP="008B1FE2">
            <w:pPr>
              <w:rPr>
                <w:color w:val="000000"/>
                <w:sz w:val="20"/>
                <w:szCs w:val="20"/>
                <w:lang w:eastAsia="en-US"/>
              </w:rPr>
            </w:pPr>
            <w:r w:rsidRPr="00CC2E6D">
              <w:rPr>
                <w:color w:val="000000"/>
                <w:sz w:val="20"/>
                <w:szCs w:val="20"/>
                <w:lang w:eastAsia="en-US"/>
              </w:rPr>
              <w:t xml:space="preserve">    Knowledge</w:t>
            </w:r>
          </w:p>
        </w:tc>
        <w:tc>
          <w:tcPr>
            <w:tcW w:w="1695" w:type="dxa"/>
            <w:shd w:val="clear" w:color="auto" w:fill="auto"/>
            <w:noWrap/>
            <w:vAlign w:val="bottom"/>
            <w:hideMark/>
          </w:tcPr>
          <w:p w14:paraId="3D3656D7" w14:textId="77777777" w:rsidR="00FF65D0" w:rsidRPr="00F22906" w:rsidRDefault="00FF65D0" w:rsidP="008B1FE2">
            <w:pPr>
              <w:jc w:val="center"/>
              <w:rPr>
                <w:color w:val="000000"/>
                <w:sz w:val="20"/>
                <w:szCs w:val="20"/>
                <w:lang w:eastAsia="en-US"/>
              </w:rPr>
            </w:pPr>
            <w:r w:rsidRPr="00F22906">
              <w:rPr>
                <w:color w:val="000000"/>
                <w:sz w:val="20"/>
                <w:szCs w:val="20"/>
                <w:lang w:eastAsia="en-US"/>
              </w:rPr>
              <w:t>67.0 (5.4)</w:t>
            </w:r>
          </w:p>
        </w:tc>
        <w:tc>
          <w:tcPr>
            <w:tcW w:w="1868" w:type="dxa"/>
            <w:shd w:val="clear" w:color="auto" w:fill="auto"/>
            <w:noWrap/>
            <w:vAlign w:val="bottom"/>
            <w:hideMark/>
          </w:tcPr>
          <w:p w14:paraId="68AE45FA" w14:textId="77777777" w:rsidR="00FF65D0" w:rsidRPr="00F22906" w:rsidRDefault="00FF65D0" w:rsidP="008B1FE2">
            <w:pPr>
              <w:jc w:val="center"/>
              <w:rPr>
                <w:color w:val="000000"/>
                <w:sz w:val="20"/>
                <w:szCs w:val="20"/>
                <w:lang w:eastAsia="en-US"/>
              </w:rPr>
            </w:pPr>
            <w:r>
              <w:rPr>
                <w:color w:val="000000"/>
                <w:sz w:val="20"/>
                <w:szCs w:val="20"/>
                <w:lang w:eastAsia="en-US"/>
              </w:rPr>
              <w:t>69.2</w:t>
            </w:r>
            <w:r w:rsidRPr="00F22906">
              <w:rPr>
                <w:color w:val="000000"/>
                <w:sz w:val="20"/>
                <w:szCs w:val="20"/>
                <w:lang w:eastAsia="en-US"/>
              </w:rPr>
              <w:t xml:space="preserve"> (</w:t>
            </w:r>
            <w:r>
              <w:rPr>
                <w:color w:val="000000"/>
                <w:sz w:val="20"/>
                <w:szCs w:val="20"/>
                <w:lang w:eastAsia="en-US"/>
              </w:rPr>
              <w:t>13.4</w:t>
            </w:r>
            <w:r w:rsidRPr="00F22906">
              <w:rPr>
                <w:color w:val="000000"/>
                <w:sz w:val="20"/>
                <w:szCs w:val="20"/>
                <w:lang w:eastAsia="en-US"/>
              </w:rPr>
              <w:t>)</w:t>
            </w:r>
          </w:p>
        </w:tc>
        <w:tc>
          <w:tcPr>
            <w:tcW w:w="2221" w:type="dxa"/>
            <w:shd w:val="clear" w:color="auto" w:fill="auto"/>
            <w:noWrap/>
            <w:vAlign w:val="bottom"/>
            <w:hideMark/>
          </w:tcPr>
          <w:p w14:paraId="00BF79CA" w14:textId="77777777" w:rsidR="00FF65D0" w:rsidRPr="00F22906" w:rsidRDefault="00FF65D0" w:rsidP="008B1FE2">
            <w:pPr>
              <w:jc w:val="center"/>
              <w:rPr>
                <w:color w:val="000000"/>
                <w:sz w:val="20"/>
                <w:szCs w:val="20"/>
                <w:lang w:eastAsia="en-US"/>
              </w:rPr>
            </w:pPr>
            <w:r w:rsidRPr="00F22906">
              <w:rPr>
                <w:color w:val="000000"/>
                <w:sz w:val="20"/>
                <w:szCs w:val="20"/>
                <w:lang w:eastAsia="en-US"/>
              </w:rPr>
              <w:t>0.0</w:t>
            </w:r>
            <w:r>
              <w:rPr>
                <w:color w:val="000000"/>
                <w:sz w:val="20"/>
                <w:szCs w:val="20"/>
                <w:lang w:eastAsia="en-US"/>
              </w:rPr>
              <w:t>12</w:t>
            </w:r>
          </w:p>
        </w:tc>
      </w:tr>
      <w:tr w:rsidR="00FF65D0" w:rsidRPr="00F22906" w14:paraId="6E7E18A7" w14:textId="77777777" w:rsidTr="008B1FE2">
        <w:trPr>
          <w:trHeight w:val="306"/>
        </w:trPr>
        <w:tc>
          <w:tcPr>
            <w:tcW w:w="8679" w:type="dxa"/>
            <w:gridSpan w:val="4"/>
            <w:shd w:val="clear" w:color="auto" w:fill="auto"/>
            <w:noWrap/>
            <w:vAlign w:val="center"/>
            <w:hideMark/>
          </w:tcPr>
          <w:p w14:paraId="15DA305D" w14:textId="397A83D8" w:rsidR="00FF65D0" w:rsidRPr="00762921" w:rsidRDefault="00FF65D0" w:rsidP="008B1FE2">
            <w:pPr>
              <w:rPr>
                <w:b/>
                <w:color w:val="000000"/>
                <w:sz w:val="20"/>
                <w:szCs w:val="20"/>
                <w:lang w:eastAsia="en-US"/>
              </w:rPr>
            </w:pPr>
            <w:r w:rsidRPr="00762921">
              <w:rPr>
                <w:b/>
                <w:color w:val="000000"/>
                <w:sz w:val="20"/>
                <w:szCs w:val="20"/>
                <w:lang w:eastAsia="en-US"/>
              </w:rPr>
              <w:t xml:space="preserve">Last Observation Carried Forward </w:t>
            </w:r>
            <w:r w:rsidR="00CA3B7F" w:rsidRPr="00762921">
              <w:rPr>
                <w:b/>
                <w:color w:val="000000"/>
                <w:sz w:val="20"/>
                <w:szCs w:val="20"/>
                <w:lang w:eastAsia="en-US"/>
              </w:rPr>
              <w:t>(n=50) </w:t>
            </w:r>
          </w:p>
        </w:tc>
      </w:tr>
      <w:tr w:rsidR="00CA3B7F" w:rsidRPr="00F22906" w14:paraId="2A64D9BE" w14:textId="77777777" w:rsidTr="00CA3B7F">
        <w:trPr>
          <w:trHeight w:val="320"/>
        </w:trPr>
        <w:tc>
          <w:tcPr>
            <w:tcW w:w="2895" w:type="dxa"/>
            <w:shd w:val="clear" w:color="auto" w:fill="auto"/>
            <w:noWrap/>
            <w:vAlign w:val="center"/>
            <w:hideMark/>
          </w:tcPr>
          <w:p w14:paraId="7684B9B2" w14:textId="77777777" w:rsidR="00CA3B7F" w:rsidRPr="00376A75" w:rsidRDefault="00CA3B7F" w:rsidP="00CA3B7F">
            <w:pPr>
              <w:rPr>
                <w:color w:val="000000"/>
                <w:sz w:val="20"/>
                <w:szCs w:val="20"/>
                <w:lang w:eastAsia="en-US"/>
              </w:rPr>
            </w:pPr>
            <w:r w:rsidRPr="00376A75">
              <w:rPr>
                <w:color w:val="000000"/>
                <w:sz w:val="20"/>
                <w:szCs w:val="20"/>
                <w:lang w:eastAsia="en-US"/>
              </w:rPr>
              <w:t xml:space="preserve">   WST-Q Capacity </w:t>
            </w:r>
          </w:p>
        </w:tc>
        <w:tc>
          <w:tcPr>
            <w:tcW w:w="1695" w:type="dxa"/>
            <w:shd w:val="clear" w:color="auto" w:fill="auto"/>
            <w:noWrap/>
            <w:vAlign w:val="bottom"/>
          </w:tcPr>
          <w:p w14:paraId="5CD4EBC1" w14:textId="78F0D910" w:rsidR="00CA3B7F" w:rsidRPr="00376A75" w:rsidRDefault="00CA3B7F" w:rsidP="00CA3B7F">
            <w:pPr>
              <w:jc w:val="center"/>
              <w:rPr>
                <w:color w:val="000000"/>
                <w:sz w:val="20"/>
                <w:szCs w:val="20"/>
                <w:lang w:eastAsia="en-US"/>
              </w:rPr>
            </w:pPr>
            <w:r w:rsidRPr="00376A75">
              <w:rPr>
                <w:color w:val="000000"/>
                <w:sz w:val="20"/>
                <w:szCs w:val="20"/>
                <w:lang w:eastAsia="en-US"/>
              </w:rPr>
              <w:t>15.</w:t>
            </w:r>
            <w:r>
              <w:rPr>
                <w:color w:val="000000"/>
                <w:sz w:val="20"/>
                <w:szCs w:val="20"/>
                <w:lang w:eastAsia="en-US"/>
              </w:rPr>
              <w:t>5</w:t>
            </w:r>
            <w:r w:rsidRPr="00376A75">
              <w:rPr>
                <w:color w:val="000000"/>
                <w:sz w:val="20"/>
                <w:szCs w:val="20"/>
                <w:lang w:eastAsia="en-US"/>
              </w:rPr>
              <w:t xml:space="preserve"> (</w:t>
            </w:r>
            <w:r>
              <w:rPr>
                <w:color w:val="000000"/>
                <w:sz w:val="20"/>
                <w:szCs w:val="20"/>
                <w:lang w:eastAsia="en-US"/>
              </w:rPr>
              <w:t>14.8)</w:t>
            </w:r>
            <w:r w:rsidRPr="00376A75">
              <w:rPr>
                <w:color w:val="000000"/>
                <w:sz w:val="20"/>
                <w:szCs w:val="20"/>
                <w:lang w:eastAsia="en-US"/>
              </w:rPr>
              <w:t xml:space="preserve"> </w:t>
            </w:r>
          </w:p>
        </w:tc>
        <w:tc>
          <w:tcPr>
            <w:tcW w:w="1868" w:type="dxa"/>
            <w:shd w:val="clear" w:color="auto" w:fill="auto"/>
            <w:noWrap/>
            <w:vAlign w:val="bottom"/>
          </w:tcPr>
          <w:p w14:paraId="6F654252" w14:textId="4AC42C8E" w:rsidR="00CA3B7F" w:rsidRPr="00376A75" w:rsidRDefault="00CA3B7F" w:rsidP="00CA3B7F">
            <w:pPr>
              <w:jc w:val="center"/>
              <w:rPr>
                <w:color w:val="000000"/>
                <w:sz w:val="20"/>
                <w:szCs w:val="20"/>
                <w:lang w:eastAsia="en-US"/>
              </w:rPr>
            </w:pPr>
            <w:r>
              <w:rPr>
                <w:color w:val="000000"/>
                <w:sz w:val="20"/>
                <w:szCs w:val="20"/>
                <w:lang w:eastAsia="en-US"/>
              </w:rPr>
              <w:t>61.3</w:t>
            </w:r>
            <w:r w:rsidRPr="00376A75">
              <w:rPr>
                <w:color w:val="000000"/>
                <w:sz w:val="20"/>
                <w:szCs w:val="20"/>
                <w:lang w:eastAsia="en-US"/>
              </w:rPr>
              <w:t xml:space="preserve"> (3</w:t>
            </w:r>
            <w:r>
              <w:rPr>
                <w:color w:val="000000"/>
                <w:sz w:val="20"/>
                <w:szCs w:val="20"/>
                <w:lang w:eastAsia="en-US"/>
              </w:rPr>
              <w:t>1.8</w:t>
            </w:r>
            <w:r w:rsidRPr="00376A75">
              <w:rPr>
                <w:color w:val="000000"/>
                <w:sz w:val="20"/>
                <w:szCs w:val="20"/>
                <w:lang w:eastAsia="en-US"/>
              </w:rPr>
              <w:t>)</w:t>
            </w:r>
          </w:p>
        </w:tc>
        <w:tc>
          <w:tcPr>
            <w:tcW w:w="2221" w:type="dxa"/>
            <w:shd w:val="clear" w:color="auto" w:fill="auto"/>
            <w:noWrap/>
            <w:vAlign w:val="bottom"/>
          </w:tcPr>
          <w:p w14:paraId="1AAE439F" w14:textId="62EE133C" w:rsidR="00CA3B7F" w:rsidRPr="00376A75" w:rsidRDefault="00CA3B7F" w:rsidP="00CA3B7F">
            <w:pPr>
              <w:jc w:val="center"/>
              <w:rPr>
                <w:color w:val="000000"/>
                <w:sz w:val="20"/>
                <w:szCs w:val="20"/>
                <w:lang w:eastAsia="en-US"/>
              </w:rPr>
            </w:pPr>
            <w:r w:rsidRPr="00376A75">
              <w:rPr>
                <w:color w:val="000000"/>
                <w:sz w:val="20"/>
                <w:szCs w:val="20"/>
                <w:lang w:eastAsia="en-US"/>
              </w:rPr>
              <w:t>&lt;0.001</w:t>
            </w:r>
          </w:p>
        </w:tc>
      </w:tr>
      <w:tr w:rsidR="00CA3B7F" w:rsidRPr="00F22906" w14:paraId="30B73AFC" w14:textId="77777777" w:rsidTr="00CA3B7F">
        <w:trPr>
          <w:trHeight w:val="320"/>
        </w:trPr>
        <w:tc>
          <w:tcPr>
            <w:tcW w:w="2895" w:type="dxa"/>
            <w:shd w:val="clear" w:color="auto" w:fill="auto"/>
            <w:noWrap/>
            <w:vAlign w:val="center"/>
            <w:hideMark/>
          </w:tcPr>
          <w:p w14:paraId="7A022397" w14:textId="77777777" w:rsidR="00CA3B7F" w:rsidRPr="00376A75" w:rsidRDefault="00CA3B7F" w:rsidP="00CA3B7F">
            <w:pPr>
              <w:rPr>
                <w:color w:val="000000"/>
                <w:sz w:val="20"/>
                <w:szCs w:val="20"/>
                <w:lang w:eastAsia="en-US"/>
              </w:rPr>
            </w:pPr>
            <w:r w:rsidRPr="00376A75">
              <w:rPr>
                <w:color w:val="000000"/>
                <w:sz w:val="20"/>
                <w:szCs w:val="20"/>
                <w:lang w:eastAsia="en-US"/>
              </w:rPr>
              <w:t xml:space="preserve">   WST-Q Confidence </w:t>
            </w:r>
          </w:p>
        </w:tc>
        <w:tc>
          <w:tcPr>
            <w:tcW w:w="1695" w:type="dxa"/>
            <w:shd w:val="clear" w:color="auto" w:fill="auto"/>
            <w:noWrap/>
            <w:vAlign w:val="bottom"/>
          </w:tcPr>
          <w:p w14:paraId="3F1C4254" w14:textId="6264C1DB" w:rsidR="00CA3B7F" w:rsidRPr="00376A75" w:rsidRDefault="00CA3B7F" w:rsidP="00CA3B7F">
            <w:pPr>
              <w:jc w:val="center"/>
              <w:rPr>
                <w:color w:val="000000"/>
                <w:sz w:val="20"/>
                <w:szCs w:val="20"/>
                <w:lang w:eastAsia="en-US"/>
              </w:rPr>
            </w:pPr>
            <w:r w:rsidRPr="00376A75">
              <w:rPr>
                <w:color w:val="000000"/>
                <w:sz w:val="20"/>
                <w:szCs w:val="20"/>
                <w:lang w:eastAsia="en-US"/>
              </w:rPr>
              <w:t>4</w:t>
            </w:r>
            <w:r>
              <w:rPr>
                <w:color w:val="000000"/>
                <w:sz w:val="20"/>
                <w:szCs w:val="20"/>
                <w:lang w:eastAsia="en-US"/>
              </w:rPr>
              <w:t>5.9</w:t>
            </w:r>
            <w:r w:rsidRPr="00376A75">
              <w:rPr>
                <w:color w:val="000000"/>
                <w:sz w:val="20"/>
                <w:szCs w:val="20"/>
                <w:lang w:eastAsia="en-US"/>
              </w:rPr>
              <w:t xml:space="preserve"> (1</w:t>
            </w:r>
            <w:r>
              <w:rPr>
                <w:color w:val="000000"/>
                <w:sz w:val="20"/>
                <w:szCs w:val="20"/>
                <w:lang w:eastAsia="en-US"/>
              </w:rPr>
              <w:t>8.1</w:t>
            </w:r>
            <w:r w:rsidRPr="00376A75">
              <w:rPr>
                <w:color w:val="000000"/>
                <w:sz w:val="20"/>
                <w:szCs w:val="20"/>
                <w:lang w:eastAsia="en-US"/>
              </w:rPr>
              <w:t>)</w:t>
            </w:r>
          </w:p>
        </w:tc>
        <w:tc>
          <w:tcPr>
            <w:tcW w:w="1868" w:type="dxa"/>
            <w:shd w:val="clear" w:color="auto" w:fill="auto"/>
            <w:noWrap/>
            <w:vAlign w:val="bottom"/>
          </w:tcPr>
          <w:p w14:paraId="3A296EB3" w14:textId="4E6DDF53" w:rsidR="00CA3B7F" w:rsidRPr="00376A75" w:rsidRDefault="00CA3B7F" w:rsidP="00CA3B7F">
            <w:pPr>
              <w:jc w:val="center"/>
              <w:rPr>
                <w:color w:val="000000"/>
                <w:sz w:val="20"/>
                <w:szCs w:val="20"/>
                <w:lang w:eastAsia="en-US"/>
              </w:rPr>
            </w:pPr>
            <w:r>
              <w:rPr>
                <w:color w:val="000000"/>
                <w:sz w:val="20"/>
                <w:szCs w:val="20"/>
                <w:lang w:eastAsia="en-US"/>
              </w:rPr>
              <w:t>71.3</w:t>
            </w:r>
            <w:r w:rsidRPr="00376A75">
              <w:rPr>
                <w:color w:val="000000"/>
                <w:sz w:val="20"/>
                <w:szCs w:val="20"/>
                <w:lang w:eastAsia="en-US"/>
              </w:rPr>
              <w:t xml:space="preserve"> (21.</w:t>
            </w:r>
            <w:r>
              <w:rPr>
                <w:color w:val="000000"/>
                <w:sz w:val="20"/>
                <w:szCs w:val="20"/>
                <w:lang w:eastAsia="en-US"/>
              </w:rPr>
              <w:t>2</w:t>
            </w:r>
            <w:r w:rsidRPr="00376A75">
              <w:rPr>
                <w:color w:val="000000"/>
                <w:sz w:val="20"/>
                <w:szCs w:val="20"/>
                <w:lang w:eastAsia="en-US"/>
              </w:rPr>
              <w:t>)</w:t>
            </w:r>
          </w:p>
        </w:tc>
        <w:tc>
          <w:tcPr>
            <w:tcW w:w="2221" w:type="dxa"/>
            <w:shd w:val="clear" w:color="auto" w:fill="auto"/>
            <w:noWrap/>
            <w:vAlign w:val="bottom"/>
          </w:tcPr>
          <w:p w14:paraId="6288AF3A" w14:textId="681D5B27" w:rsidR="00CA3B7F" w:rsidRPr="00376A75" w:rsidRDefault="00CA3B7F" w:rsidP="00CA3B7F">
            <w:pPr>
              <w:jc w:val="center"/>
              <w:rPr>
                <w:color w:val="000000"/>
                <w:sz w:val="20"/>
                <w:szCs w:val="20"/>
                <w:lang w:eastAsia="en-US"/>
              </w:rPr>
            </w:pPr>
            <w:r w:rsidRPr="00376A75">
              <w:rPr>
                <w:color w:val="000000"/>
                <w:sz w:val="20"/>
                <w:szCs w:val="20"/>
                <w:lang w:eastAsia="en-US"/>
              </w:rPr>
              <w:t>&lt;0.001</w:t>
            </w:r>
          </w:p>
        </w:tc>
      </w:tr>
      <w:tr w:rsidR="00CA3B7F" w:rsidRPr="00F22906" w14:paraId="2B5D10A8" w14:textId="77777777" w:rsidTr="00CA3B7F">
        <w:trPr>
          <w:trHeight w:val="320"/>
        </w:trPr>
        <w:tc>
          <w:tcPr>
            <w:tcW w:w="2895" w:type="dxa"/>
            <w:shd w:val="clear" w:color="auto" w:fill="auto"/>
            <w:noWrap/>
            <w:vAlign w:val="center"/>
            <w:hideMark/>
          </w:tcPr>
          <w:p w14:paraId="005E9324" w14:textId="77777777" w:rsidR="00CA3B7F" w:rsidRPr="00376A75" w:rsidRDefault="00CA3B7F" w:rsidP="00CA3B7F">
            <w:pPr>
              <w:rPr>
                <w:color w:val="000000"/>
                <w:sz w:val="20"/>
                <w:szCs w:val="20"/>
                <w:lang w:eastAsia="en-US"/>
              </w:rPr>
            </w:pPr>
            <w:r w:rsidRPr="00376A75">
              <w:rPr>
                <w:color w:val="000000"/>
                <w:sz w:val="20"/>
                <w:szCs w:val="20"/>
                <w:lang w:eastAsia="en-US"/>
              </w:rPr>
              <w:t xml:space="preserve">    Knowledge</w:t>
            </w:r>
          </w:p>
        </w:tc>
        <w:tc>
          <w:tcPr>
            <w:tcW w:w="1695" w:type="dxa"/>
            <w:shd w:val="clear" w:color="auto" w:fill="auto"/>
            <w:noWrap/>
            <w:vAlign w:val="bottom"/>
          </w:tcPr>
          <w:p w14:paraId="473F8B64" w14:textId="493EC581" w:rsidR="00CA3B7F" w:rsidRPr="00376A75" w:rsidRDefault="00CA3B7F" w:rsidP="00CA3B7F">
            <w:pPr>
              <w:jc w:val="center"/>
              <w:rPr>
                <w:color w:val="000000"/>
                <w:sz w:val="20"/>
                <w:szCs w:val="20"/>
                <w:lang w:eastAsia="en-US"/>
              </w:rPr>
            </w:pPr>
            <w:r w:rsidRPr="00376A75">
              <w:rPr>
                <w:color w:val="000000"/>
                <w:sz w:val="20"/>
                <w:szCs w:val="20"/>
                <w:lang w:eastAsia="en-US"/>
              </w:rPr>
              <w:t>6</w:t>
            </w:r>
            <w:r>
              <w:rPr>
                <w:color w:val="000000"/>
                <w:sz w:val="20"/>
                <w:szCs w:val="20"/>
                <w:lang w:eastAsia="en-US"/>
              </w:rPr>
              <w:t>5.3</w:t>
            </w:r>
            <w:r w:rsidRPr="00376A75">
              <w:rPr>
                <w:color w:val="000000"/>
                <w:sz w:val="20"/>
                <w:szCs w:val="20"/>
                <w:lang w:eastAsia="en-US"/>
              </w:rPr>
              <w:t xml:space="preserve"> (</w:t>
            </w:r>
            <w:r>
              <w:rPr>
                <w:color w:val="000000"/>
                <w:sz w:val="20"/>
                <w:szCs w:val="20"/>
                <w:lang w:eastAsia="en-US"/>
              </w:rPr>
              <w:t>10.8</w:t>
            </w:r>
            <w:r w:rsidRPr="00376A75">
              <w:rPr>
                <w:color w:val="000000"/>
                <w:sz w:val="20"/>
                <w:szCs w:val="20"/>
                <w:lang w:eastAsia="en-US"/>
              </w:rPr>
              <w:t>)</w:t>
            </w:r>
          </w:p>
        </w:tc>
        <w:tc>
          <w:tcPr>
            <w:tcW w:w="1868" w:type="dxa"/>
            <w:shd w:val="clear" w:color="auto" w:fill="auto"/>
            <w:noWrap/>
            <w:vAlign w:val="bottom"/>
          </w:tcPr>
          <w:p w14:paraId="6BD367D3" w14:textId="082BB3A5" w:rsidR="00CA3B7F" w:rsidRPr="00376A75" w:rsidRDefault="00CA3B7F" w:rsidP="00CA3B7F">
            <w:pPr>
              <w:jc w:val="center"/>
              <w:rPr>
                <w:color w:val="000000"/>
                <w:sz w:val="20"/>
                <w:szCs w:val="20"/>
                <w:lang w:eastAsia="en-US"/>
              </w:rPr>
            </w:pPr>
            <w:r w:rsidRPr="00376A75">
              <w:rPr>
                <w:color w:val="000000"/>
                <w:sz w:val="20"/>
                <w:szCs w:val="20"/>
                <w:lang w:eastAsia="en-US"/>
              </w:rPr>
              <w:t>6</w:t>
            </w:r>
            <w:r>
              <w:rPr>
                <w:color w:val="000000"/>
                <w:sz w:val="20"/>
                <w:szCs w:val="20"/>
                <w:lang w:eastAsia="en-US"/>
              </w:rPr>
              <w:t>7.0</w:t>
            </w:r>
            <w:r w:rsidRPr="00376A75">
              <w:rPr>
                <w:color w:val="000000"/>
                <w:sz w:val="20"/>
                <w:szCs w:val="20"/>
                <w:lang w:eastAsia="en-US"/>
              </w:rPr>
              <w:t xml:space="preserve"> (</w:t>
            </w:r>
            <w:r>
              <w:rPr>
                <w:color w:val="000000"/>
                <w:sz w:val="20"/>
                <w:szCs w:val="20"/>
                <w:lang w:eastAsia="en-US"/>
              </w:rPr>
              <w:t>15.7</w:t>
            </w:r>
            <w:r w:rsidRPr="00376A75">
              <w:rPr>
                <w:color w:val="000000"/>
                <w:sz w:val="20"/>
                <w:szCs w:val="20"/>
                <w:lang w:eastAsia="en-US"/>
              </w:rPr>
              <w:t>)</w:t>
            </w:r>
          </w:p>
        </w:tc>
        <w:tc>
          <w:tcPr>
            <w:tcW w:w="2221" w:type="dxa"/>
            <w:shd w:val="clear" w:color="auto" w:fill="auto"/>
            <w:noWrap/>
            <w:vAlign w:val="bottom"/>
          </w:tcPr>
          <w:p w14:paraId="2842F27B" w14:textId="0F9762E3" w:rsidR="00CA3B7F" w:rsidRPr="00376A75" w:rsidRDefault="00CA3B7F" w:rsidP="00CA3B7F">
            <w:pPr>
              <w:jc w:val="center"/>
              <w:rPr>
                <w:color w:val="000000"/>
                <w:sz w:val="20"/>
                <w:szCs w:val="20"/>
                <w:lang w:eastAsia="en-US"/>
              </w:rPr>
            </w:pPr>
            <w:r w:rsidRPr="00376A75">
              <w:rPr>
                <w:color w:val="000000"/>
                <w:sz w:val="20"/>
                <w:szCs w:val="20"/>
                <w:lang w:eastAsia="en-US"/>
              </w:rPr>
              <w:t>0.0</w:t>
            </w:r>
            <w:r>
              <w:rPr>
                <w:color w:val="000000"/>
                <w:sz w:val="20"/>
                <w:szCs w:val="20"/>
                <w:lang w:eastAsia="en-US"/>
              </w:rPr>
              <w:t>12</w:t>
            </w:r>
          </w:p>
        </w:tc>
      </w:tr>
      <w:tr w:rsidR="00CA3B7F" w:rsidRPr="00F22906" w14:paraId="796891BA" w14:textId="77777777" w:rsidTr="008B1FE2">
        <w:trPr>
          <w:trHeight w:val="320"/>
        </w:trPr>
        <w:tc>
          <w:tcPr>
            <w:tcW w:w="2895" w:type="dxa"/>
            <w:shd w:val="clear" w:color="auto" w:fill="D9D9D9" w:themeFill="background1" w:themeFillShade="D9"/>
            <w:noWrap/>
            <w:vAlign w:val="center"/>
            <w:hideMark/>
          </w:tcPr>
          <w:p w14:paraId="2C54CACF" w14:textId="77777777" w:rsidR="00CA3B7F" w:rsidRPr="00376A75" w:rsidRDefault="00CA3B7F" w:rsidP="00CA3B7F">
            <w:pPr>
              <w:jc w:val="center"/>
              <w:rPr>
                <w:color w:val="000000"/>
                <w:sz w:val="20"/>
                <w:szCs w:val="20"/>
                <w:lang w:eastAsia="en-US"/>
              </w:rPr>
            </w:pPr>
            <w:r w:rsidRPr="00376A75">
              <w:rPr>
                <w:b/>
                <w:color w:val="000000"/>
                <w:sz w:val="20"/>
                <w:szCs w:val="20"/>
                <w:lang w:eastAsia="en-US"/>
              </w:rPr>
              <w:t>Data Analyzed</w:t>
            </w:r>
          </w:p>
        </w:tc>
        <w:tc>
          <w:tcPr>
            <w:tcW w:w="1695" w:type="dxa"/>
            <w:shd w:val="clear" w:color="000000" w:fill="D9D9D9"/>
            <w:noWrap/>
            <w:vAlign w:val="center"/>
            <w:hideMark/>
          </w:tcPr>
          <w:p w14:paraId="4BF52F81" w14:textId="77777777" w:rsidR="00CA3B7F" w:rsidRPr="00376A75" w:rsidRDefault="00CA3B7F" w:rsidP="00CA3B7F">
            <w:pPr>
              <w:jc w:val="center"/>
              <w:rPr>
                <w:b/>
                <w:bCs/>
                <w:color w:val="000000"/>
                <w:sz w:val="20"/>
                <w:szCs w:val="20"/>
                <w:lang w:eastAsia="en-US"/>
              </w:rPr>
            </w:pPr>
            <w:r w:rsidRPr="00376A75">
              <w:rPr>
                <w:b/>
                <w:bCs/>
                <w:color w:val="000000"/>
                <w:sz w:val="20"/>
                <w:szCs w:val="20"/>
                <w:lang w:eastAsia="en-US"/>
              </w:rPr>
              <w:t xml:space="preserve">Baseline </w:t>
            </w:r>
          </w:p>
          <w:p w14:paraId="182C4C92" w14:textId="77777777" w:rsidR="00CA3B7F" w:rsidRPr="00376A75" w:rsidRDefault="00CA3B7F" w:rsidP="00CA3B7F">
            <w:pPr>
              <w:jc w:val="center"/>
              <w:rPr>
                <w:b/>
                <w:bCs/>
                <w:color w:val="000000"/>
                <w:sz w:val="20"/>
                <w:szCs w:val="20"/>
                <w:lang w:eastAsia="en-US"/>
              </w:rPr>
            </w:pPr>
            <w:r w:rsidRPr="00376A75">
              <w:rPr>
                <w:b/>
                <w:bCs/>
                <w:color w:val="000000"/>
                <w:sz w:val="20"/>
                <w:szCs w:val="20"/>
                <w:lang w:eastAsia="en-US"/>
              </w:rPr>
              <w:t>Pooled Mean</w:t>
            </w:r>
          </w:p>
        </w:tc>
        <w:tc>
          <w:tcPr>
            <w:tcW w:w="1868" w:type="dxa"/>
            <w:shd w:val="clear" w:color="000000" w:fill="D9D9D9"/>
            <w:noWrap/>
            <w:vAlign w:val="center"/>
            <w:hideMark/>
          </w:tcPr>
          <w:p w14:paraId="7682354F" w14:textId="77777777" w:rsidR="00CA3B7F" w:rsidRPr="00376A75" w:rsidRDefault="00CA3B7F" w:rsidP="00CA3B7F">
            <w:pPr>
              <w:jc w:val="center"/>
              <w:rPr>
                <w:b/>
                <w:bCs/>
                <w:color w:val="000000"/>
                <w:sz w:val="20"/>
                <w:szCs w:val="20"/>
                <w:lang w:eastAsia="en-US"/>
              </w:rPr>
            </w:pPr>
            <w:r w:rsidRPr="00376A75">
              <w:rPr>
                <w:b/>
                <w:bCs/>
                <w:color w:val="000000"/>
                <w:sz w:val="20"/>
                <w:szCs w:val="20"/>
                <w:lang w:eastAsia="en-US"/>
              </w:rPr>
              <w:t>Follow-up</w:t>
            </w:r>
          </w:p>
          <w:p w14:paraId="7C440158" w14:textId="77777777" w:rsidR="00CA3B7F" w:rsidRPr="00376A75" w:rsidRDefault="00CA3B7F" w:rsidP="00CA3B7F">
            <w:pPr>
              <w:jc w:val="center"/>
              <w:rPr>
                <w:b/>
                <w:bCs/>
                <w:color w:val="000000"/>
                <w:sz w:val="20"/>
                <w:szCs w:val="20"/>
                <w:lang w:eastAsia="en-US"/>
              </w:rPr>
            </w:pPr>
            <w:r w:rsidRPr="00376A75">
              <w:rPr>
                <w:b/>
                <w:bCs/>
                <w:color w:val="000000"/>
                <w:sz w:val="20"/>
                <w:szCs w:val="20"/>
                <w:lang w:eastAsia="en-US"/>
              </w:rPr>
              <w:t>Pooled Mean</w:t>
            </w:r>
          </w:p>
        </w:tc>
        <w:tc>
          <w:tcPr>
            <w:tcW w:w="2221" w:type="dxa"/>
            <w:shd w:val="clear" w:color="000000" w:fill="D9D9D9"/>
            <w:noWrap/>
            <w:vAlign w:val="center"/>
            <w:hideMark/>
          </w:tcPr>
          <w:p w14:paraId="57F491AA" w14:textId="77777777" w:rsidR="00CA3B7F" w:rsidRPr="00376A75" w:rsidRDefault="00CA3B7F" w:rsidP="00CA3B7F">
            <w:pPr>
              <w:jc w:val="center"/>
              <w:rPr>
                <w:b/>
                <w:bCs/>
                <w:color w:val="000000"/>
                <w:sz w:val="20"/>
                <w:szCs w:val="20"/>
                <w:lang w:eastAsia="en-US"/>
              </w:rPr>
            </w:pPr>
            <w:r w:rsidRPr="00376A75">
              <w:rPr>
                <w:b/>
                <w:bCs/>
                <w:color w:val="000000"/>
                <w:sz w:val="20"/>
                <w:szCs w:val="20"/>
                <w:lang w:eastAsia="en-US"/>
              </w:rPr>
              <w:t xml:space="preserve">Paired Comparison </w:t>
            </w:r>
          </w:p>
          <w:p w14:paraId="5C851AF8" w14:textId="77777777" w:rsidR="00CA3B7F" w:rsidRPr="00376A75" w:rsidRDefault="00CA3B7F" w:rsidP="00CA3B7F">
            <w:pPr>
              <w:jc w:val="center"/>
              <w:rPr>
                <w:b/>
                <w:bCs/>
                <w:color w:val="000000"/>
                <w:sz w:val="20"/>
                <w:szCs w:val="20"/>
                <w:lang w:eastAsia="en-US"/>
              </w:rPr>
            </w:pPr>
            <w:r w:rsidRPr="00376A75">
              <w:rPr>
                <w:b/>
                <w:bCs/>
                <w:color w:val="000000"/>
                <w:sz w:val="20"/>
                <w:szCs w:val="20"/>
                <w:lang w:eastAsia="en-US"/>
              </w:rPr>
              <w:t>p-value</w:t>
            </w:r>
          </w:p>
        </w:tc>
      </w:tr>
      <w:tr w:rsidR="00CA3B7F" w:rsidRPr="00F22906" w14:paraId="40470E0A" w14:textId="77777777" w:rsidTr="008B1FE2">
        <w:trPr>
          <w:trHeight w:val="320"/>
        </w:trPr>
        <w:tc>
          <w:tcPr>
            <w:tcW w:w="8679" w:type="dxa"/>
            <w:gridSpan w:val="4"/>
            <w:shd w:val="clear" w:color="auto" w:fill="auto"/>
            <w:noWrap/>
            <w:vAlign w:val="center"/>
            <w:hideMark/>
          </w:tcPr>
          <w:p w14:paraId="3BAB9384" w14:textId="0E70878B" w:rsidR="00CA3B7F" w:rsidRPr="00376A75" w:rsidRDefault="00CA3B7F" w:rsidP="00CA3B7F">
            <w:pPr>
              <w:rPr>
                <w:b/>
                <w:color w:val="000000"/>
                <w:sz w:val="20"/>
                <w:szCs w:val="20"/>
                <w:lang w:eastAsia="en-US"/>
              </w:rPr>
            </w:pPr>
            <w:r w:rsidRPr="00376A75">
              <w:rPr>
                <w:b/>
                <w:color w:val="000000"/>
                <w:sz w:val="20"/>
                <w:szCs w:val="20"/>
                <w:lang w:eastAsia="en-US"/>
              </w:rPr>
              <w:t>Multiple Imputation (</w:t>
            </w:r>
            <w:r w:rsidRPr="00762921">
              <w:rPr>
                <w:b/>
                <w:color w:val="000000"/>
                <w:sz w:val="20"/>
                <w:szCs w:val="20"/>
                <w:lang w:eastAsia="en-US"/>
              </w:rPr>
              <w:t>n=50) </w:t>
            </w:r>
          </w:p>
        </w:tc>
      </w:tr>
      <w:tr w:rsidR="00CA3B7F" w:rsidRPr="00F22906" w14:paraId="5C3F2479" w14:textId="77777777" w:rsidTr="00CA3B7F">
        <w:trPr>
          <w:trHeight w:val="320"/>
        </w:trPr>
        <w:tc>
          <w:tcPr>
            <w:tcW w:w="2895" w:type="dxa"/>
            <w:shd w:val="clear" w:color="auto" w:fill="auto"/>
            <w:noWrap/>
            <w:vAlign w:val="center"/>
            <w:hideMark/>
          </w:tcPr>
          <w:p w14:paraId="00F25C5F" w14:textId="77777777" w:rsidR="00CA3B7F" w:rsidRPr="00376A75" w:rsidRDefault="00CA3B7F" w:rsidP="00CA3B7F">
            <w:pPr>
              <w:rPr>
                <w:color w:val="000000"/>
                <w:sz w:val="20"/>
                <w:szCs w:val="20"/>
                <w:lang w:eastAsia="en-US"/>
              </w:rPr>
            </w:pPr>
            <w:r w:rsidRPr="00376A75">
              <w:rPr>
                <w:color w:val="000000"/>
                <w:sz w:val="20"/>
                <w:szCs w:val="20"/>
                <w:lang w:eastAsia="en-US"/>
              </w:rPr>
              <w:t xml:space="preserve">   WST-Q Capacity </w:t>
            </w:r>
          </w:p>
        </w:tc>
        <w:tc>
          <w:tcPr>
            <w:tcW w:w="1695" w:type="dxa"/>
            <w:shd w:val="clear" w:color="auto" w:fill="auto"/>
            <w:noWrap/>
            <w:vAlign w:val="bottom"/>
          </w:tcPr>
          <w:p w14:paraId="6CCE479B" w14:textId="47792E7E" w:rsidR="00CA3B7F" w:rsidRPr="00376A75" w:rsidRDefault="00CA3B7F" w:rsidP="00CA3B7F">
            <w:pPr>
              <w:jc w:val="center"/>
              <w:rPr>
                <w:color w:val="000000"/>
                <w:sz w:val="20"/>
                <w:szCs w:val="20"/>
                <w:lang w:eastAsia="en-US"/>
              </w:rPr>
            </w:pPr>
            <w:r w:rsidRPr="00376A75">
              <w:rPr>
                <w:color w:val="000000"/>
                <w:sz w:val="20"/>
                <w:szCs w:val="20"/>
                <w:lang w:eastAsia="en-US"/>
              </w:rPr>
              <w:t>15.6</w:t>
            </w:r>
          </w:p>
        </w:tc>
        <w:tc>
          <w:tcPr>
            <w:tcW w:w="1868" w:type="dxa"/>
            <w:shd w:val="clear" w:color="auto" w:fill="auto"/>
            <w:noWrap/>
            <w:vAlign w:val="bottom"/>
          </w:tcPr>
          <w:p w14:paraId="409DEDC3" w14:textId="0EF97823" w:rsidR="00CA3B7F" w:rsidRPr="00376A75" w:rsidRDefault="00CA3B7F" w:rsidP="00CA3B7F">
            <w:pPr>
              <w:jc w:val="center"/>
              <w:rPr>
                <w:color w:val="000000"/>
                <w:sz w:val="20"/>
                <w:szCs w:val="20"/>
                <w:lang w:eastAsia="en-US"/>
              </w:rPr>
            </w:pPr>
            <w:r w:rsidRPr="00376A75">
              <w:rPr>
                <w:color w:val="000000"/>
                <w:sz w:val="20"/>
                <w:szCs w:val="20"/>
                <w:lang w:eastAsia="en-US"/>
              </w:rPr>
              <w:t>7</w:t>
            </w:r>
            <w:r>
              <w:rPr>
                <w:color w:val="000000"/>
                <w:sz w:val="20"/>
                <w:szCs w:val="20"/>
                <w:lang w:eastAsia="en-US"/>
              </w:rPr>
              <w:t>3</w:t>
            </w:r>
            <w:r w:rsidRPr="00376A75">
              <w:rPr>
                <w:color w:val="000000"/>
                <w:sz w:val="20"/>
                <w:szCs w:val="20"/>
                <w:lang w:eastAsia="en-US"/>
              </w:rPr>
              <w:t>.</w:t>
            </w:r>
            <w:r>
              <w:rPr>
                <w:color w:val="000000"/>
                <w:sz w:val="20"/>
                <w:szCs w:val="20"/>
                <w:lang w:eastAsia="en-US"/>
              </w:rPr>
              <w:t>0</w:t>
            </w:r>
          </w:p>
        </w:tc>
        <w:tc>
          <w:tcPr>
            <w:tcW w:w="2221" w:type="dxa"/>
            <w:shd w:val="clear" w:color="auto" w:fill="auto"/>
            <w:noWrap/>
            <w:vAlign w:val="bottom"/>
          </w:tcPr>
          <w:p w14:paraId="05B718CD" w14:textId="138285EC" w:rsidR="00CA3B7F" w:rsidRPr="00376A75" w:rsidRDefault="00CA3B7F" w:rsidP="00CA3B7F">
            <w:pPr>
              <w:jc w:val="center"/>
              <w:rPr>
                <w:color w:val="000000"/>
                <w:sz w:val="20"/>
                <w:szCs w:val="20"/>
                <w:lang w:eastAsia="en-US"/>
              </w:rPr>
            </w:pPr>
            <w:r w:rsidRPr="00376A75">
              <w:rPr>
                <w:color w:val="000000"/>
                <w:sz w:val="20"/>
                <w:szCs w:val="20"/>
                <w:lang w:eastAsia="en-US"/>
              </w:rPr>
              <w:t>&lt;0.001</w:t>
            </w:r>
          </w:p>
        </w:tc>
      </w:tr>
      <w:tr w:rsidR="00CA3B7F" w:rsidRPr="00F22906" w14:paraId="3F2F6530" w14:textId="77777777" w:rsidTr="00CA3B7F">
        <w:trPr>
          <w:trHeight w:val="320"/>
        </w:trPr>
        <w:tc>
          <w:tcPr>
            <w:tcW w:w="2895" w:type="dxa"/>
            <w:shd w:val="clear" w:color="auto" w:fill="auto"/>
            <w:noWrap/>
            <w:vAlign w:val="center"/>
            <w:hideMark/>
          </w:tcPr>
          <w:p w14:paraId="7D67120A" w14:textId="77777777" w:rsidR="00CA3B7F" w:rsidRPr="00376A75" w:rsidRDefault="00CA3B7F" w:rsidP="00CA3B7F">
            <w:pPr>
              <w:rPr>
                <w:color w:val="000000"/>
                <w:sz w:val="20"/>
                <w:szCs w:val="20"/>
                <w:lang w:eastAsia="en-US"/>
              </w:rPr>
            </w:pPr>
            <w:r w:rsidRPr="00376A75">
              <w:rPr>
                <w:color w:val="000000"/>
                <w:sz w:val="20"/>
                <w:szCs w:val="20"/>
                <w:lang w:eastAsia="en-US"/>
              </w:rPr>
              <w:t xml:space="preserve">   WST-Q Confidence </w:t>
            </w:r>
          </w:p>
        </w:tc>
        <w:tc>
          <w:tcPr>
            <w:tcW w:w="1695" w:type="dxa"/>
            <w:shd w:val="clear" w:color="auto" w:fill="auto"/>
            <w:noWrap/>
            <w:vAlign w:val="bottom"/>
          </w:tcPr>
          <w:p w14:paraId="762C12E6" w14:textId="115872D9" w:rsidR="00CA3B7F" w:rsidRPr="00376A75" w:rsidRDefault="00CA3B7F" w:rsidP="00CA3B7F">
            <w:pPr>
              <w:jc w:val="center"/>
              <w:rPr>
                <w:color w:val="000000"/>
                <w:sz w:val="20"/>
                <w:szCs w:val="20"/>
                <w:lang w:eastAsia="en-US"/>
              </w:rPr>
            </w:pPr>
            <w:r w:rsidRPr="00376A75">
              <w:rPr>
                <w:color w:val="000000"/>
                <w:sz w:val="20"/>
                <w:szCs w:val="20"/>
                <w:lang w:eastAsia="en-US"/>
              </w:rPr>
              <w:t>4</w:t>
            </w:r>
            <w:r>
              <w:rPr>
                <w:color w:val="000000"/>
                <w:sz w:val="20"/>
                <w:szCs w:val="20"/>
                <w:lang w:eastAsia="en-US"/>
              </w:rPr>
              <w:t>6</w:t>
            </w:r>
            <w:r w:rsidRPr="00376A75">
              <w:rPr>
                <w:color w:val="000000"/>
                <w:sz w:val="20"/>
                <w:szCs w:val="20"/>
                <w:lang w:eastAsia="en-US"/>
              </w:rPr>
              <w:t>.</w:t>
            </w:r>
            <w:r>
              <w:rPr>
                <w:color w:val="000000"/>
                <w:sz w:val="20"/>
                <w:szCs w:val="20"/>
                <w:lang w:eastAsia="en-US"/>
              </w:rPr>
              <w:t>0</w:t>
            </w:r>
          </w:p>
        </w:tc>
        <w:tc>
          <w:tcPr>
            <w:tcW w:w="1868" w:type="dxa"/>
            <w:shd w:val="clear" w:color="auto" w:fill="auto"/>
            <w:noWrap/>
            <w:vAlign w:val="bottom"/>
          </w:tcPr>
          <w:p w14:paraId="13DDF8C5" w14:textId="093AA695" w:rsidR="00CA3B7F" w:rsidRPr="00376A75" w:rsidRDefault="00CA3B7F" w:rsidP="00CA3B7F">
            <w:pPr>
              <w:jc w:val="center"/>
              <w:rPr>
                <w:color w:val="000000"/>
                <w:sz w:val="20"/>
                <w:szCs w:val="20"/>
                <w:lang w:eastAsia="en-US"/>
              </w:rPr>
            </w:pPr>
            <w:r w:rsidRPr="00376A75">
              <w:rPr>
                <w:color w:val="000000"/>
                <w:sz w:val="20"/>
                <w:szCs w:val="20"/>
                <w:lang w:eastAsia="en-US"/>
              </w:rPr>
              <w:t>7</w:t>
            </w:r>
            <w:r>
              <w:rPr>
                <w:color w:val="000000"/>
                <w:sz w:val="20"/>
                <w:szCs w:val="20"/>
                <w:lang w:eastAsia="en-US"/>
              </w:rPr>
              <w:t>8</w:t>
            </w:r>
            <w:r w:rsidRPr="00376A75">
              <w:rPr>
                <w:color w:val="000000"/>
                <w:sz w:val="20"/>
                <w:szCs w:val="20"/>
                <w:lang w:eastAsia="en-US"/>
              </w:rPr>
              <w:t>.</w:t>
            </w:r>
            <w:r>
              <w:rPr>
                <w:color w:val="000000"/>
                <w:sz w:val="20"/>
                <w:szCs w:val="20"/>
                <w:lang w:eastAsia="en-US"/>
              </w:rPr>
              <w:t>0</w:t>
            </w:r>
          </w:p>
        </w:tc>
        <w:tc>
          <w:tcPr>
            <w:tcW w:w="2221" w:type="dxa"/>
            <w:shd w:val="clear" w:color="auto" w:fill="auto"/>
            <w:noWrap/>
            <w:vAlign w:val="bottom"/>
          </w:tcPr>
          <w:p w14:paraId="459D50BE" w14:textId="2A155B00" w:rsidR="00CA3B7F" w:rsidRPr="00376A75" w:rsidRDefault="00CA3B7F" w:rsidP="00CA3B7F">
            <w:pPr>
              <w:jc w:val="center"/>
              <w:rPr>
                <w:color w:val="000000"/>
                <w:sz w:val="20"/>
                <w:szCs w:val="20"/>
                <w:lang w:eastAsia="en-US"/>
              </w:rPr>
            </w:pPr>
            <w:r w:rsidRPr="00376A75">
              <w:rPr>
                <w:color w:val="000000"/>
                <w:sz w:val="20"/>
                <w:szCs w:val="20"/>
                <w:lang w:eastAsia="en-US"/>
              </w:rPr>
              <w:t>&lt;0.001</w:t>
            </w:r>
          </w:p>
        </w:tc>
      </w:tr>
      <w:tr w:rsidR="00CA3B7F" w:rsidRPr="00F22906" w14:paraId="3C6CE1B4" w14:textId="77777777" w:rsidTr="00CA3B7F">
        <w:trPr>
          <w:trHeight w:val="320"/>
        </w:trPr>
        <w:tc>
          <w:tcPr>
            <w:tcW w:w="2895" w:type="dxa"/>
            <w:shd w:val="clear" w:color="auto" w:fill="auto"/>
            <w:noWrap/>
            <w:vAlign w:val="center"/>
            <w:hideMark/>
          </w:tcPr>
          <w:p w14:paraId="1849A5F3" w14:textId="77777777" w:rsidR="00CA3B7F" w:rsidRPr="00376A75" w:rsidRDefault="00CA3B7F" w:rsidP="00CA3B7F">
            <w:pPr>
              <w:rPr>
                <w:color w:val="000000"/>
                <w:sz w:val="20"/>
                <w:szCs w:val="20"/>
                <w:lang w:eastAsia="en-US"/>
              </w:rPr>
            </w:pPr>
            <w:r w:rsidRPr="00376A75">
              <w:rPr>
                <w:color w:val="000000"/>
                <w:sz w:val="20"/>
                <w:szCs w:val="20"/>
                <w:lang w:eastAsia="en-US"/>
              </w:rPr>
              <w:t xml:space="preserve">    Knowledge</w:t>
            </w:r>
          </w:p>
        </w:tc>
        <w:tc>
          <w:tcPr>
            <w:tcW w:w="1695" w:type="dxa"/>
            <w:shd w:val="clear" w:color="auto" w:fill="auto"/>
            <w:noWrap/>
            <w:vAlign w:val="bottom"/>
          </w:tcPr>
          <w:p w14:paraId="5C702801" w14:textId="1050E3AC" w:rsidR="00CA3B7F" w:rsidRPr="00376A75" w:rsidRDefault="00CA3B7F" w:rsidP="00CA3B7F">
            <w:pPr>
              <w:jc w:val="center"/>
              <w:rPr>
                <w:color w:val="000000"/>
                <w:sz w:val="20"/>
                <w:szCs w:val="20"/>
                <w:lang w:eastAsia="en-US"/>
              </w:rPr>
            </w:pPr>
            <w:r w:rsidRPr="00376A75">
              <w:rPr>
                <w:color w:val="000000"/>
                <w:sz w:val="20"/>
                <w:szCs w:val="20"/>
                <w:lang w:eastAsia="en-US"/>
              </w:rPr>
              <w:t>6</w:t>
            </w:r>
            <w:r>
              <w:rPr>
                <w:color w:val="000000"/>
                <w:sz w:val="20"/>
                <w:szCs w:val="20"/>
                <w:lang w:eastAsia="en-US"/>
              </w:rPr>
              <w:t>5</w:t>
            </w:r>
            <w:r w:rsidRPr="00376A75">
              <w:rPr>
                <w:color w:val="000000"/>
                <w:sz w:val="20"/>
                <w:szCs w:val="20"/>
                <w:lang w:eastAsia="en-US"/>
              </w:rPr>
              <w:t>.</w:t>
            </w:r>
            <w:r>
              <w:rPr>
                <w:color w:val="000000"/>
                <w:sz w:val="20"/>
                <w:szCs w:val="20"/>
                <w:lang w:eastAsia="en-US"/>
              </w:rPr>
              <w:t>3</w:t>
            </w:r>
          </w:p>
        </w:tc>
        <w:tc>
          <w:tcPr>
            <w:tcW w:w="1868" w:type="dxa"/>
            <w:shd w:val="clear" w:color="auto" w:fill="auto"/>
            <w:noWrap/>
            <w:vAlign w:val="bottom"/>
          </w:tcPr>
          <w:p w14:paraId="55BB8834" w14:textId="0A3AFAB4" w:rsidR="00CA3B7F" w:rsidRPr="00376A75" w:rsidRDefault="00CA3B7F" w:rsidP="00CA3B7F">
            <w:pPr>
              <w:jc w:val="center"/>
              <w:rPr>
                <w:color w:val="000000"/>
                <w:sz w:val="20"/>
                <w:szCs w:val="20"/>
                <w:lang w:eastAsia="en-US"/>
              </w:rPr>
            </w:pPr>
            <w:r>
              <w:rPr>
                <w:color w:val="000000"/>
                <w:sz w:val="20"/>
                <w:szCs w:val="20"/>
                <w:lang w:eastAsia="en-US"/>
              </w:rPr>
              <w:t>68</w:t>
            </w:r>
            <w:r w:rsidRPr="00376A75">
              <w:rPr>
                <w:color w:val="000000"/>
                <w:sz w:val="20"/>
                <w:szCs w:val="20"/>
                <w:lang w:eastAsia="en-US"/>
              </w:rPr>
              <w:t>.</w:t>
            </w:r>
            <w:r>
              <w:rPr>
                <w:color w:val="000000"/>
                <w:sz w:val="20"/>
                <w:szCs w:val="20"/>
                <w:lang w:eastAsia="en-US"/>
              </w:rPr>
              <w:t>7</w:t>
            </w:r>
          </w:p>
        </w:tc>
        <w:tc>
          <w:tcPr>
            <w:tcW w:w="2221" w:type="dxa"/>
            <w:shd w:val="clear" w:color="auto" w:fill="auto"/>
            <w:noWrap/>
            <w:vAlign w:val="bottom"/>
          </w:tcPr>
          <w:p w14:paraId="16650491" w14:textId="13B08E3B" w:rsidR="00CA3B7F" w:rsidRPr="00376A75" w:rsidRDefault="00CA3B7F" w:rsidP="00CA3B7F">
            <w:pPr>
              <w:jc w:val="center"/>
              <w:rPr>
                <w:color w:val="000000"/>
                <w:sz w:val="20"/>
                <w:szCs w:val="20"/>
                <w:lang w:eastAsia="en-US"/>
              </w:rPr>
            </w:pPr>
            <w:r w:rsidRPr="00376A75">
              <w:rPr>
                <w:color w:val="000000"/>
                <w:sz w:val="20"/>
                <w:szCs w:val="20"/>
                <w:lang w:eastAsia="en-US"/>
              </w:rPr>
              <w:t>0.008</w:t>
            </w:r>
          </w:p>
        </w:tc>
      </w:tr>
    </w:tbl>
    <w:p w14:paraId="2CF07E53" w14:textId="77777777" w:rsidR="00FF65D0" w:rsidRDefault="00FF65D0" w:rsidP="00324BD6">
      <w:pPr>
        <w:spacing w:line="480" w:lineRule="auto"/>
        <w:rPr>
          <w:b/>
          <w:bCs/>
          <w:i/>
          <w:iCs/>
        </w:rPr>
      </w:pPr>
    </w:p>
    <w:p w14:paraId="4A87A43C" w14:textId="49D5DF9E" w:rsidR="00324BD6" w:rsidRPr="00FF65D0" w:rsidRDefault="00324BD6" w:rsidP="00324BD6">
      <w:pPr>
        <w:spacing w:line="480" w:lineRule="auto"/>
        <w:rPr>
          <w:b/>
          <w:bCs/>
        </w:rPr>
      </w:pPr>
      <w:r w:rsidRPr="00FF65D0">
        <w:rPr>
          <w:b/>
          <w:bCs/>
        </w:rPr>
        <w:t>Additional Participant Feedback</w:t>
      </w:r>
    </w:p>
    <w:p w14:paraId="3469DFB3" w14:textId="6368A9C3" w:rsidR="00324BD6" w:rsidRDefault="00324BD6" w:rsidP="00324BD6">
      <w:pPr>
        <w:spacing w:line="480" w:lineRule="auto"/>
      </w:pPr>
      <w:r>
        <w:t>Some participants felt the training would benefit from defined frequency and duration as well as how many times skills should be attempted.</w:t>
      </w:r>
      <w:r w:rsidR="0055118D">
        <w:t xml:space="preserve"> </w:t>
      </w:r>
      <w:r w:rsidRPr="003F712B">
        <w:t xml:space="preserve">There were also comments about the introductory materials being very text-heavy with a preference indicated for the information </w:t>
      </w:r>
      <w:r>
        <w:t xml:space="preserve">to be </w:t>
      </w:r>
      <w:r w:rsidRPr="003F712B">
        <w:t>delivered in a video format.</w:t>
      </w:r>
      <w:r>
        <w:t xml:space="preserve"> For videos on specific skills, some requested more step-by-step instructions on how to complete the skill. Some participants found navigating the </w:t>
      </w:r>
      <w:r w:rsidR="001A75B8">
        <w:t xml:space="preserve">[removed for blinding] </w:t>
      </w:r>
      <w:r>
        <w:t>platform difficult to navigate for file sharing.</w:t>
      </w:r>
    </w:p>
    <w:p w14:paraId="0AF74AF3" w14:textId="77777777" w:rsidR="00324BD6" w:rsidRDefault="00324BD6" w:rsidP="000C6958">
      <w:pPr>
        <w:spacing w:line="480" w:lineRule="auto"/>
        <w:ind w:firstLine="720"/>
      </w:pPr>
      <w:r>
        <w:t>Participants felt the intervention was most useful for training future patients in how to complete wheelchair skills and gaining perspective on the patient experience of skill acquisition. The majority reported that understanding how to complete the skills themselves would assist them with being able to better teach and demonstrate skills. Some participants also commented on the utility of improved spotting skills.</w:t>
      </w:r>
    </w:p>
    <w:p w14:paraId="39727900" w14:textId="0C425254" w:rsidR="00066CA6" w:rsidRDefault="00324BD6" w:rsidP="000C6958">
      <w:pPr>
        <w:spacing w:line="480" w:lineRule="auto"/>
        <w:ind w:firstLine="720"/>
      </w:pPr>
      <w:r w:rsidRPr="00582C99">
        <w:lastRenderedPageBreak/>
        <w:t>Participants requested a schedule or timeline to guide the training intervention and</w:t>
      </w:r>
      <w:r>
        <w:t xml:space="preserve"> additional videos as aspects to add to the training. Participants reported that remote trainer feedback and trial-and-error were helpful in skill acquisition. Others felt that limited access to equipment and obstacles was a barrier.</w:t>
      </w:r>
    </w:p>
    <w:p w14:paraId="76B7A02D" w14:textId="77777777" w:rsidR="009B6215" w:rsidRDefault="009B6215" w:rsidP="001A75B8">
      <w:pPr>
        <w:spacing w:line="480" w:lineRule="auto"/>
      </w:pPr>
    </w:p>
    <w:p w14:paraId="1ADD7CF2" w14:textId="77777777" w:rsidR="009B6215" w:rsidRPr="00683C6C" w:rsidRDefault="009B6215" w:rsidP="009B6215">
      <w:pPr>
        <w:spacing w:afterLines="80" w:after="192" w:line="480" w:lineRule="auto"/>
        <w:rPr>
          <w:b/>
          <w:bCs/>
        </w:rPr>
      </w:pPr>
      <w:r w:rsidRPr="00683C6C">
        <w:rPr>
          <w:b/>
          <w:bCs/>
        </w:rPr>
        <w:t xml:space="preserve">Trainer Feedback </w:t>
      </w:r>
    </w:p>
    <w:p w14:paraId="3E0F11DA" w14:textId="77777777" w:rsidR="009B6215" w:rsidRDefault="009B6215" w:rsidP="009B6215">
      <w:pPr>
        <w:spacing w:afterLines="80" w:after="192" w:line="480" w:lineRule="auto"/>
      </w:pPr>
      <w:r w:rsidRPr="005E2C9B">
        <w:t xml:space="preserve">Trends were noted in the content of </w:t>
      </w:r>
      <w:r>
        <w:t xml:space="preserve">the trainer’s </w:t>
      </w:r>
      <w:r w:rsidRPr="005E2C9B">
        <w:t xml:space="preserve">asynchronous feedback both for spotters and for learners. Some of the most common problems for spotters, aside from </w:t>
      </w:r>
      <w:r>
        <w:t>the absence of a spotter in some video recordings</w:t>
      </w:r>
      <w:r w:rsidRPr="005E2C9B">
        <w:t xml:space="preserve">, included </w:t>
      </w:r>
      <w:r>
        <w:t>deficiencies</w:t>
      </w:r>
      <w:r w:rsidRPr="005E2C9B">
        <w:t xml:space="preserve"> with </w:t>
      </w:r>
      <w:r>
        <w:t>gripping</w:t>
      </w:r>
      <w:r w:rsidRPr="005E2C9B">
        <w:t xml:space="preserve"> the wrist strap</w:t>
      </w:r>
      <w:r>
        <w:t xml:space="preserve"> (wrist strap around the spotter’s wrist) and</w:t>
      </w:r>
      <w:r w:rsidRPr="005E2C9B">
        <w:t xml:space="preserve"> the strap being too long. </w:t>
      </w:r>
    </w:p>
    <w:p w14:paraId="43D0DF4A" w14:textId="77777777" w:rsidR="009B6215" w:rsidRDefault="009B6215" w:rsidP="00FF65D0">
      <w:pPr>
        <w:spacing w:afterLines="80" w:after="192" w:line="480" w:lineRule="auto"/>
        <w:ind w:firstLine="720"/>
      </w:pPr>
      <w:r w:rsidRPr="005E2C9B">
        <w:t>For learner issues</w:t>
      </w:r>
      <w:r>
        <w:t xml:space="preserve"> related to transient caster popping (a necessary component of the “</w:t>
      </w:r>
      <w:r w:rsidRPr="00D46F59">
        <w:t>gets over gap</w:t>
      </w:r>
      <w:r>
        <w:t>”</w:t>
      </w:r>
      <w:r w:rsidRPr="00D46F59">
        <w:t xml:space="preserve">, </w:t>
      </w:r>
      <w:r>
        <w:t>“</w:t>
      </w:r>
      <w:r w:rsidRPr="00D46F59">
        <w:t>gets over threshold</w:t>
      </w:r>
      <w:r>
        <w:t>”</w:t>
      </w:r>
      <w:r w:rsidRPr="00D46F59">
        <w:t xml:space="preserve"> and </w:t>
      </w:r>
      <w:r>
        <w:t>“</w:t>
      </w:r>
      <w:r w:rsidRPr="00D46F59">
        <w:t xml:space="preserve">ascends low </w:t>
      </w:r>
      <w:r>
        <w:t xml:space="preserve">curb” </w:t>
      </w:r>
      <w:r w:rsidRPr="00D46F59">
        <w:t xml:space="preserve">and </w:t>
      </w:r>
      <w:r>
        <w:t xml:space="preserve">“ascends </w:t>
      </w:r>
      <w:r w:rsidRPr="00D46F59">
        <w:t>high curb</w:t>
      </w:r>
      <w:r>
        <w:t>” skills</w:t>
      </w:r>
      <w:r w:rsidRPr="00D46F59">
        <w:t>)</w:t>
      </w:r>
      <w:r w:rsidRPr="005E2C9B">
        <w:t xml:space="preserve">, </w:t>
      </w:r>
      <w:r>
        <w:t>a number of learners did</w:t>
      </w:r>
      <w:r w:rsidRPr="005E2C9B">
        <w:t xml:space="preserve"> not use a </w:t>
      </w:r>
      <w:r>
        <w:t xml:space="preserve">forward </w:t>
      </w:r>
      <w:r w:rsidRPr="005E2C9B">
        <w:t>trunk lean</w:t>
      </w:r>
      <w:r>
        <w:t xml:space="preserve"> to get the rear wheels over the obstacle</w:t>
      </w:r>
      <w:r w:rsidRPr="005E2C9B">
        <w:t xml:space="preserve">, </w:t>
      </w:r>
      <w:r>
        <w:t>others</w:t>
      </w:r>
      <w:r w:rsidRPr="005E2C9B">
        <w:t xml:space="preserve"> popped their </w:t>
      </w:r>
      <w:r>
        <w:t>casters</w:t>
      </w:r>
      <w:r w:rsidRPr="005E2C9B">
        <w:t xml:space="preserve"> too early </w:t>
      </w:r>
      <w:r>
        <w:t>or</w:t>
      </w:r>
      <w:r w:rsidRPr="005E2C9B">
        <w:t xml:space="preserve"> too high. </w:t>
      </w:r>
      <w:r>
        <w:t>T</w:t>
      </w:r>
      <w:r w:rsidRPr="005E2C9B">
        <w:t>here was a common reference to “caster slap” for curb ascent</w:t>
      </w:r>
      <w:r>
        <w:t xml:space="preserve"> (when the rear wheels strike the curb before the casters have landed on the upper level, causing the momentum to be expended by “slapping” the casters down on the upper level rather than causing the rear wheels to climb the curb)</w:t>
      </w:r>
      <w:r w:rsidRPr="005E2C9B">
        <w:t xml:space="preserve">. For </w:t>
      </w:r>
      <w:r>
        <w:t>the “ascends</w:t>
      </w:r>
      <w:r w:rsidRPr="005E2C9B">
        <w:t xml:space="preserve"> high curb</w:t>
      </w:r>
      <w:r>
        <w:t xml:space="preserve"> skill”</w:t>
      </w:r>
      <w:r w:rsidRPr="005E2C9B">
        <w:t xml:space="preserve">, consistent comments were provided about </w:t>
      </w:r>
      <w:r>
        <w:t xml:space="preserve">the necessity of </w:t>
      </w:r>
      <w:r w:rsidRPr="005E2C9B">
        <w:t xml:space="preserve">using </w:t>
      </w:r>
      <w:r>
        <w:t xml:space="preserve">the </w:t>
      </w:r>
      <w:r w:rsidRPr="005E2C9B">
        <w:t>momentum method rather than the stationary approach.</w:t>
      </w:r>
      <w:r>
        <w:t xml:space="preserve"> </w:t>
      </w:r>
    </w:p>
    <w:p w14:paraId="52B5AD8E" w14:textId="77777777" w:rsidR="009B6215" w:rsidRPr="005E2C9B" w:rsidRDefault="009B6215" w:rsidP="000C6958">
      <w:pPr>
        <w:spacing w:afterLines="80" w:after="192" w:line="480" w:lineRule="auto"/>
        <w:ind w:firstLine="720"/>
      </w:pPr>
      <w:r>
        <w:t>For the</w:t>
      </w:r>
      <w:r w:rsidRPr="005E2C9B">
        <w:t xml:space="preserve"> </w:t>
      </w:r>
      <w:r>
        <w:t xml:space="preserve">“stationary </w:t>
      </w:r>
      <w:r w:rsidRPr="005E2C9B">
        <w:t>wheelie</w:t>
      </w:r>
      <w:r>
        <w:t>”,</w:t>
      </w:r>
      <w:r w:rsidRPr="005E2C9B">
        <w:t xml:space="preserve"> </w:t>
      </w:r>
      <w:r>
        <w:t xml:space="preserve">cues were proved to </w:t>
      </w:r>
      <w:r w:rsidRPr="005E2C9B">
        <w:t xml:space="preserve">keep </w:t>
      </w:r>
      <w:r>
        <w:t>the</w:t>
      </w:r>
      <w:r w:rsidRPr="005E2C9B">
        <w:t xml:space="preserve"> hands moving in small gentle motions</w:t>
      </w:r>
      <w:r>
        <w:t xml:space="preserve"> (“proactive balance strategy”) and</w:t>
      </w:r>
      <w:r w:rsidRPr="005E2C9B">
        <w:t xml:space="preserve"> to practice on a soft surface, like a gym mat.</w:t>
      </w:r>
      <w:r>
        <w:t xml:space="preserve"> </w:t>
      </w:r>
      <w:r w:rsidRPr="005E2C9B">
        <w:t xml:space="preserve">For the </w:t>
      </w:r>
      <w:r>
        <w:t xml:space="preserve">“turns in place in </w:t>
      </w:r>
      <w:r w:rsidRPr="005E2C9B">
        <w:t xml:space="preserve">wheelie </w:t>
      </w:r>
      <w:r>
        <w:t>position” skill,</w:t>
      </w:r>
      <w:r w:rsidRPr="005E2C9B">
        <w:t xml:space="preserve"> many needed to control their </w:t>
      </w:r>
      <w:r w:rsidRPr="005E2C9B">
        <w:lastRenderedPageBreak/>
        <w:t>movements more, and land more deliberately</w:t>
      </w:r>
      <w:r>
        <w:t>.</w:t>
      </w:r>
      <w:r w:rsidRPr="005E2C9B">
        <w:t xml:space="preserve"> Some of the common feedback </w:t>
      </w:r>
      <w:r>
        <w:t xml:space="preserve">suggestions </w:t>
      </w:r>
      <w:r w:rsidRPr="005E2C9B">
        <w:t xml:space="preserve">for </w:t>
      </w:r>
      <w:r>
        <w:t xml:space="preserve">the “descends incline in </w:t>
      </w:r>
      <w:r w:rsidRPr="005E2C9B">
        <w:t xml:space="preserve">wheelie </w:t>
      </w:r>
      <w:r>
        <w:t>position” skill included</w:t>
      </w:r>
      <w:r w:rsidRPr="005E2C9B">
        <w:t xml:space="preserve"> keeping </w:t>
      </w:r>
      <w:r>
        <w:t xml:space="preserve">one’s weight back and </w:t>
      </w:r>
      <w:r w:rsidRPr="005E2C9B">
        <w:t>get</w:t>
      </w:r>
      <w:r>
        <w:t>ting</w:t>
      </w:r>
      <w:r w:rsidRPr="005E2C9B">
        <w:t xml:space="preserve"> into the wheelie position </w:t>
      </w:r>
      <w:r>
        <w:t xml:space="preserve">while facing sideways on the incline </w:t>
      </w:r>
      <w:r w:rsidRPr="005E2C9B">
        <w:t>and then turn</w:t>
      </w:r>
      <w:r>
        <w:t>ing</w:t>
      </w:r>
      <w:r w:rsidRPr="005E2C9B">
        <w:t xml:space="preserve"> to face down the </w:t>
      </w:r>
      <w:r>
        <w:t>incline</w:t>
      </w:r>
      <w:r w:rsidRPr="005E2C9B">
        <w:t xml:space="preserve">.  For </w:t>
      </w:r>
      <w:r>
        <w:t>the “descends high curb in</w:t>
      </w:r>
      <w:r w:rsidRPr="005E2C9B">
        <w:t xml:space="preserve"> wheelie </w:t>
      </w:r>
      <w:r>
        <w:t>position” skill</w:t>
      </w:r>
      <w:r w:rsidRPr="005E2C9B">
        <w:t xml:space="preserve">, suggestions were made to keep the chair perpendicular to the curb and </w:t>
      </w:r>
      <w:r>
        <w:t xml:space="preserve">to </w:t>
      </w:r>
      <w:r w:rsidRPr="005E2C9B">
        <w:t>reduce jarring by pulling back on the hand rim</w:t>
      </w:r>
      <w:r>
        <w:t>s during the descent</w:t>
      </w:r>
      <w:r w:rsidRPr="005E2C9B">
        <w:t xml:space="preserve">. </w:t>
      </w:r>
      <w:r>
        <w:t>The trainer also noted trends with pairs of participants performing skills similarly or making the same mistakes in training sessions.</w:t>
      </w:r>
    </w:p>
    <w:p w14:paraId="2BA47AD3" w14:textId="77777777" w:rsidR="009B6215" w:rsidRPr="000121B5" w:rsidRDefault="009B6215" w:rsidP="000C6958">
      <w:pPr>
        <w:spacing w:afterLines="80" w:after="192" w:line="480" w:lineRule="auto"/>
        <w:ind w:firstLine="720"/>
      </w:pPr>
      <w:r>
        <w:t>Challenges perceived by the remote trainer included the delays in timing and content of bolus feedback, problems due to video orientation or perspective and the limited interaction with participants. Unlike in-person training, with remote asynchronous feedback the trainer was limited to one opportunity per training session to provide feedback. As such, feedback was provided as a “bolus” highlighting several areas for improvement and prescriptive recommendations to improve skill acquisition. Some participants uploaded long videos that contained more than one skill, making the video more challenging to review. Some of the obstacles used by learners (e.g. threshold, high curb and steep incline) were not of Wheelchair Skills Test dimensions making scoring challenging. Safety was an additional concern as spotter issues were noted during training sessions. Benefits of the remote asynchronous training format for the trainer included no need for travel for on-site training, the ability to review video more than once (often 3 or more times), the ability to review videos in slow motion, and the ability to refer back to the videos as a training tool.</w:t>
      </w:r>
    </w:p>
    <w:p w14:paraId="64FD095C" w14:textId="31187EFA" w:rsidR="009B6215" w:rsidRDefault="009B6215" w:rsidP="000C6958">
      <w:pPr>
        <w:pStyle w:val="CommentText"/>
        <w:spacing w:line="480" w:lineRule="auto"/>
        <w:ind w:firstLine="720"/>
      </w:pPr>
      <w:r w:rsidRPr="00336E3C">
        <w:rPr>
          <w:sz w:val="24"/>
          <w:szCs w:val="24"/>
        </w:rPr>
        <w:lastRenderedPageBreak/>
        <w:t xml:space="preserve">Other studies have noted that there are many different types of errors </w:t>
      </w:r>
      <w:r>
        <w:rPr>
          <w:sz w:val="24"/>
          <w:szCs w:val="24"/>
        </w:rPr>
        <w:t xml:space="preserve">that </w:t>
      </w:r>
      <w:r w:rsidRPr="00336E3C">
        <w:rPr>
          <w:sz w:val="24"/>
          <w:szCs w:val="24"/>
        </w:rPr>
        <w:t xml:space="preserve">learners can make when </w:t>
      </w:r>
      <w:r>
        <w:rPr>
          <w:sz w:val="24"/>
          <w:szCs w:val="24"/>
        </w:rPr>
        <w:t>learning</w:t>
      </w:r>
      <w:r w:rsidRPr="00336E3C">
        <w:rPr>
          <w:sz w:val="24"/>
          <w:szCs w:val="24"/>
        </w:rPr>
        <w:t xml:space="preserve"> </w:t>
      </w:r>
      <w:r>
        <w:rPr>
          <w:sz w:val="24"/>
          <w:szCs w:val="24"/>
        </w:rPr>
        <w:t xml:space="preserve">wheelchair </w:t>
      </w:r>
      <w:r w:rsidRPr="00336E3C">
        <w:rPr>
          <w:sz w:val="24"/>
          <w:szCs w:val="24"/>
        </w:rPr>
        <w:t>skills.</w:t>
      </w:r>
      <w:r w:rsidRPr="00336E3C">
        <w:rPr>
          <w:sz w:val="24"/>
          <w:szCs w:val="24"/>
        </w:rPr>
        <w:fldChar w:fldCharType="begin"/>
      </w:r>
      <w:r w:rsidRPr="00336E3C">
        <w:rPr>
          <w:sz w:val="24"/>
          <w:szCs w:val="24"/>
        </w:rPr>
        <w:instrText xml:space="preserve"> ADDIN EN.CITE &lt;EndNote&gt;&lt;Cite&gt;&lt;Author&gt;Al Lawati&lt;/Author&gt;&lt;Year&gt;2017&lt;/Year&gt;&lt;RecNum&gt;480&lt;/RecNum&gt;&lt;DisplayText&gt;&lt;style face="superscript"&gt;26&lt;/style&gt;&lt;/DisplayText&gt;&lt;record&gt;&lt;rec-number&gt;480&lt;/rec-number&gt;&lt;foreign-keys&gt;&lt;key app="EN" db-id="s5vp5zfwb955ane9a9vx559ywpaftvrd0p05" timestamp="1580835531"&gt;480&lt;/key&gt;&lt;/foreign-keys&gt;&lt;ref-type name="Journal Article"&gt;17&lt;/ref-type&gt;&lt;contributors&gt;&lt;authors&gt;&lt;author&gt;Al Lawati, Zainab&lt;/author&gt;&lt;author&gt;Kirby, R Lee&lt;/author&gt;&lt;author&gt;Smith, Cher&lt;/author&gt;&lt;author&gt;MacKenzie, Diane&lt;/author&gt;&lt;author&gt;Theriault, Chris&lt;/author&gt;&lt;author&gt;Matheson, Kara&lt;/author&gt;&lt;/authors&gt;&lt;/contributors&gt;&lt;titles&gt;&lt;title&gt;Getting a manual wheelchair over a threshold using the momentum method: a descriptive study of common errors&lt;/title&gt;&lt;secondary-title&gt;Archives of physical medicine and rehabilitation&lt;/secondary-title&gt;&lt;/titles&gt;&lt;periodical&gt;&lt;full-title&gt;Archives of physical medicine and rehabilitation&lt;/full-title&gt;&lt;/periodical&gt;&lt;pages&gt;2097-2099. e7&lt;/pages&gt;&lt;volume&gt;98&lt;/volume&gt;&lt;number&gt;10&lt;/number&gt;&lt;dates&gt;&lt;year&gt;2017&lt;/year&gt;&lt;/dates&gt;&lt;isbn&gt;0003-9993&lt;/isbn&gt;&lt;urls&gt;&lt;/urls&gt;&lt;/record&gt;&lt;/Cite&gt;&lt;/EndNote&gt;</w:instrText>
      </w:r>
      <w:r w:rsidRPr="00336E3C">
        <w:rPr>
          <w:sz w:val="24"/>
          <w:szCs w:val="24"/>
        </w:rPr>
        <w:fldChar w:fldCharType="separate"/>
      </w:r>
      <w:r w:rsidRPr="00336E3C">
        <w:rPr>
          <w:noProof/>
          <w:sz w:val="24"/>
          <w:szCs w:val="24"/>
          <w:vertAlign w:val="superscript"/>
        </w:rPr>
        <w:t>26</w:t>
      </w:r>
      <w:r w:rsidRPr="00336E3C">
        <w:rPr>
          <w:sz w:val="24"/>
          <w:szCs w:val="24"/>
        </w:rPr>
        <w:fldChar w:fldCharType="end"/>
      </w:r>
      <w:r w:rsidRPr="00336E3C">
        <w:rPr>
          <w:sz w:val="24"/>
          <w:szCs w:val="24"/>
        </w:rPr>
        <w:t xml:space="preserve"> The recurring themes are outlined in the Wheelchair Skills Program Manual that participants reviewed, however they could be further emphasized in compl</w:t>
      </w:r>
      <w:r>
        <w:rPr>
          <w:sz w:val="24"/>
          <w:szCs w:val="24"/>
        </w:rPr>
        <w:t>e</w:t>
      </w:r>
      <w:r w:rsidRPr="00336E3C">
        <w:rPr>
          <w:sz w:val="24"/>
          <w:szCs w:val="24"/>
        </w:rPr>
        <w:t>mentary video training materials or prepared as “stock” feedback for future trainings to save time for the remote trainer in providing feedback.</w:t>
      </w:r>
      <w:r w:rsidRPr="00943399">
        <w:rPr>
          <w:sz w:val="24"/>
          <w:szCs w:val="24"/>
        </w:rPr>
        <w:t xml:space="preserve"> </w:t>
      </w:r>
    </w:p>
    <w:sectPr w:rsidR="009B6215" w:rsidSect="001A75B8">
      <w:pgSz w:w="12240" w:h="15840"/>
      <w:pgMar w:top="1440" w:right="1800" w:bottom="1440" w:left="180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BD6"/>
    <w:rsid w:val="00066CA6"/>
    <w:rsid w:val="000C6958"/>
    <w:rsid w:val="001A75B8"/>
    <w:rsid w:val="00324BD6"/>
    <w:rsid w:val="003641AE"/>
    <w:rsid w:val="0055118D"/>
    <w:rsid w:val="00683C6C"/>
    <w:rsid w:val="009B6215"/>
    <w:rsid w:val="00CA3B7F"/>
    <w:rsid w:val="00FF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01181"/>
  <w14:defaultImageDpi w14:val="300"/>
  <w15:docId w15:val="{7C67084B-F9CB-C24C-B43A-A787D248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D6"/>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B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4BD6"/>
    <w:rPr>
      <w:rFonts w:ascii="Lucida Grande" w:eastAsia="Times New Roman" w:hAnsi="Lucida Grande" w:cs="Lucida Grande"/>
      <w:sz w:val="18"/>
      <w:szCs w:val="18"/>
      <w:lang w:eastAsia="zh-CN"/>
    </w:rPr>
  </w:style>
  <w:style w:type="character" w:styleId="CommentReference">
    <w:name w:val="annotation reference"/>
    <w:basedOn w:val="DefaultParagraphFont"/>
    <w:uiPriority w:val="99"/>
    <w:semiHidden/>
    <w:unhideWhenUsed/>
    <w:rsid w:val="0055118D"/>
    <w:rPr>
      <w:sz w:val="16"/>
      <w:szCs w:val="16"/>
    </w:rPr>
  </w:style>
  <w:style w:type="paragraph" w:styleId="CommentText">
    <w:name w:val="annotation text"/>
    <w:basedOn w:val="Normal"/>
    <w:link w:val="CommentTextChar"/>
    <w:uiPriority w:val="99"/>
    <w:unhideWhenUsed/>
    <w:rsid w:val="0055118D"/>
    <w:rPr>
      <w:sz w:val="20"/>
      <w:szCs w:val="20"/>
    </w:rPr>
  </w:style>
  <w:style w:type="character" w:customStyle="1" w:styleId="CommentTextChar">
    <w:name w:val="Comment Text Char"/>
    <w:basedOn w:val="DefaultParagraphFont"/>
    <w:link w:val="CommentText"/>
    <w:uiPriority w:val="99"/>
    <w:rsid w:val="0055118D"/>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5118D"/>
    <w:rPr>
      <w:b/>
      <w:bCs/>
    </w:rPr>
  </w:style>
  <w:style w:type="character" w:customStyle="1" w:styleId="CommentSubjectChar">
    <w:name w:val="Comment Subject Char"/>
    <w:basedOn w:val="CommentTextChar"/>
    <w:link w:val="CommentSubject"/>
    <w:uiPriority w:val="99"/>
    <w:semiHidden/>
    <w:rsid w:val="0055118D"/>
    <w:rPr>
      <w:rFonts w:ascii="Times New Roman" w:eastAsia="Times New Roman" w:hAnsi="Times New Roman" w:cs="Times New Roman"/>
      <w:b/>
      <w:bCs/>
      <w:sz w:val="20"/>
      <w:szCs w:val="20"/>
      <w:lang w:eastAsia="zh-CN"/>
    </w:rPr>
  </w:style>
  <w:style w:type="character" w:styleId="LineNumber">
    <w:name w:val="line number"/>
    <w:basedOn w:val="DefaultParagraphFont"/>
    <w:uiPriority w:val="99"/>
    <w:semiHidden/>
    <w:unhideWhenUsed/>
    <w:rsid w:val="001A7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Worobey, Lynn A</cp:lastModifiedBy>
  <cp:revision>6</cp:revision>
  <dcterms:created xsi:type="dcterms:W3CDTF">2020-03-24T15:31:00Z</dcterms:created>
  <dcterms:modified xsi:type="dcterms:W3CDTF">2020-06-30T23:46:00Z</dcterms:modified>
</cp:coreProperties>
</file>